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C63B7" w14:textId="77777777" w:rsidR="00B23B6F" w:rsidRDefault="00196671" w:rsidP="00196671">
      <w:pPr>
        <w:tabs>
          <w:tab w:val="center" w:pos="4536"/>
          <w:tab w:val="right" w:pos="8280"/>
          <w:tab w:val="right" w:pos="9639"/>
        </w:tabs>
        <w:ind w:right="2"/>
        <w:rPr>
          <w:rFonts w:ascii="Arial" w:hAnsi="Arial" w:cs="Arial"/>
          <w:b/>
          <w:bCs/>
        </w:rPr>
      </w:pPr>
      <w:r w:rsidRPr="00435F1E">
        <w:rPr>
          <w:rFonts w:ascii="Arial" w:hAnsi="Arial" w:cs="Arial"/>
          <w:b/>
          <w:bCs/>
        </w:rPr>
        <w:t>3GPP TSG RAN WG1 #98</w:t>
      </w:r>
      <w:r w:rsidRPr="00435F1E">
        <w:rPr>
          <w:rFonts w:ascii="Arial" w:hAnsi="Arial" w:cs="Arial"/>
          <w:b/>
          <w:bCs/>
        </w:rPr>
        <w:tab/>
      </w:r>
      <w:r w:rsidRPr="00435F1E">
        <w:rPr>
          <w:rFonts w:ascii="Arial" w:hAnsi="Arial" w:cs="Arial"/>
          <w:b/>
          <w:bCs/>
        </w:rPr>
        <w:tab/>
      </w:r>
      <w:r w:rsidRPr="00435F1E">
        <w:rPr>
          <w:rFonts w:ascii="Arial" w:hAnsi="Arial" w:cs="Arial"/>
          <w:b/>
          <w:bCs/>
        </w:rPr>
        <w:tab/>
      </w:r>
      <w:r w:rsidR="00B23B6F" w:rsidRPr="00B23B6F">
        <w:rPr>
          <w:rFonts w:ascii="Arial" w:hAnsi="Arial" w:cs="Arial"/>
          <w:b/>
          <w:bCs/>
        </w:rPr>
        <w:t>R1-1909057</w:t>
      </w:r>
    </w:p>
    <w:p w14:paraId="72DC12B6" w14:textId="77777777" w:rsidR="00196671" w:rsidRPr="00435F1E" w:rsidRDefault="00196671" w:rsidP="00196671">
      <w:pPr>
        <w:tabs>
          <w:tab w:val="center" w:pos="4536"/>
          <w:tab w:val="right" w:pos="9072"/>
        </w:tabs>
        <w:rPr>
          <w:rFonts w:ascii="Arial" w:eastAsia="MS Mincho" w:hAnsi="Arial" w:cs="Arial"/>
          <w:b/>
          <w:bCs/>
          <w:lang w:eastAsia="ja-JP"/>
        </w:rPr>
      </w:pPr>
      <w:bookmarkStart w:id="0" w:name="_GoBack"/>
      <w:bookmarkEnd w:id="0"/>
      <w:r w:rsidRPr="00435F1E">
        <w:rPr>
          <w:rFonts w:ascii="Arial" w:eastAsia="MS Mincho" w:hAnsi="Arial" w:cs="Arial"/>
          <w:b/>
          <w:bCs/>
          <w:lang w:eastAsia="ja-JP"/>
        </w:rPr>
        <w:t>Prague, CZ, August 26</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 30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2019</w:t>
      </w:r>
    </w:p>
    <w:p w14:paraId="49D00282" w14:textId="77777777" w:rsidR="00633DE7" w:rsidRPr="00136C56" w:rsidRDefault="00633DE7" w:rsidP="00633DE7">
      <w:pPr>
        <w:pStyle w:val="CRCoverPage"/>
        <w:outlineLvl w:val="0"/>
        <w:rPr>
          <w:rFonts w:ascii="Times New Roman" w:hAnsi="Times New Roman"/>
          <w:b/>
          <w:sz w:val="24"/>
          <w:lang w:val="en-US"/>
        </w:rPr>
      </w:pPr>
    </w:p>
    <w:p w14:paraId="70F9AF9F" w14:textId="2240650B" w:rsidR="006A6DB4"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6A6DB4">
        <w:rPr>
          <w:sz w:val="22"/>
          <w:szCs w:val="22"/>
        </w:rPr>
        <w:t>2.</w:t>
      </w:r>
      <w:r w:rsidR="00C92076">
        <w:rPr>
          <w:sz w:val="22"/>
          <w:szCs w:val="22"/>
        </w:rPr>
        <w:t>6.</w:t>
      </w:r>
      <w:r w:rsidR="00EC6C47">
        <w:rPr>
          <w:sz w:val="22"/>
          <w:szCs w:val="22"/>
        </w:rPr>
        <w:t>7</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27E7C3F4" w14:textId="77777777" w:rsidR="00F2225B" w:rsidRDefault="003D3C45" w:rsidP="00311702">
      <w:pPr>
        <w:pStyle w:val="3GPPHeader"/>
        <w:rPr>
          <w:sz w:val="22"/>
          <w:szCs w:val="22"/>
        </w:rPr>
      </w:pPr>
      <w:r w:rsidRPr="00315C6E">
        <w:rPr>
          <w:sz w:val="22"/>
          <w:szCs w:val="22"/>
        </w:rPr>
        <w:t>Title:</w:t>
      </w:r>
      <w:r w:rsidR="00E90E49" w:rsidRPr="00315C6E">
        <w:rPr>
          <w:sz w:val="22"/>
          <w:szCs w:val="22"/>
        </w:rPr>
        <w:tab/>
      </w:r>
      <w:r w:rsidR="00F2225B" w:rsidRPr="00F2225B">
        <w:rPr>
          <w:sz w:val="22"/>
          <w:szCs w:val="22"/>
        </w:rPr>
        <w:t>NR URLLC enhancement for cell edge UE</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72839381" w14:textId="0EA87A25" w:rsidR="002E267F"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2E267F">
        <w:rPr>
          <w:sz w:val="20"/>
          <w:szCs w:val="20"/>
        </w:rPr>
        <w:t>a variety of services with different performance requirement. There are three major different service</w:t>
      </w:r>
      <w:r w:rsidR="00046E41">
        <w:rPr>
          <w:sz w:val="20"/>
          <w:szCs w:val="20"/>
        </w:rPr>
        <w:t>s</w:t>
      </w:r>
      <w:r w:rsidR="002E267F">
        <w:rPr>
          <w:sz w:val="20"/>
          <w:szCs w:val="20"/>
        </w:rPr>
        <w:t xml:space="preserve"> that </w:t>
      </w:r>
      <w:r w:rsidR="00046E41">
        <w:rPr>
          <w:sz w:val="20"/>
          <w:szCs w:val="20"/>
        </w:rPr>
        <w:t>are targeted to</w:t>
      </w:r>
      <w:r w:rsidR="002E267F">
        <w:rPr>
          <w:sz w:val="20"/>
          <w:szCs w:val="20"/>
        </w:rPr>
        <w:t xml:space="preserve"> be provided by NR, namely</w:t>
      </w:r>
    </w:p>
    <w:p w14:paraId="7B5034C8" w14:textId="77777777" w:rsidR="002E267F" w:rsidRDefault="002E267F" w:rsidP="001622D5">
      <w:pPr>
        <w:jc w:val="both"/>
        <w:rPr>
          <w:sz w:val="20"/>
          <w:szCs w:val="20"/>
        </w:rPr>
      </w:pPr>
    </w:p>
    <w:p w14:paraId="0D7722EA" w14:textId="77777777" w:rsidR="002E267F" w:rsidRDefault="002E267F" w:rsidP="002E267F">
      <w:pPr>
        <w:pStyle w:val="ListParagraph"/>
        <w:numPr>
          <w:ilvl w:val="0"/>
          <w:numId w:val="31"/>
        </w:numPr>
        <w:jc w:val="both"/>
        <w:rPr>
          <w:rFonts w:ascii="Times New Roman" w:hAnsi="Times New Roman"/>
          <w:sz w:val="20"/>
          <w:szCs w:val="20"/>
        </w:rPr>
      </w:pPr>
      <w:r w:rsidRPr="002E267F">
        <w:rPr>
          <w:rFonts w:ascii="Times New Roman" w:hAnsi="Times New Roman"/>
          <w:sz w:val="20"/>
          <w:szCs w:val="20"/>
        </w:rPr>
        <w:t>eMBB</w:t>
      </w:r>
      <w:r>
        <w:rPr>
          <w:rFonts w:ascii="Times New Roman" w:hAnsi="Times New Roman"/>
          <w:sz w:val="20"/>
          <w:szCs w:val="20"/>
        </w:rPr>
        <w:t xml:space="preserve"> (enhanced Mobile Broadband): the main design goal is to achieve high spectrum efficiency </w:t>
      </w:r>
    </w:p>
    <w:p w14:paraId="77F8C3EC" w14:textId="200F8D36"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mMTC (massive Machine Type Communication): the main design goal is to support ultra-high device density, improve coverage by 20d</w:t>
      </w:r>
      <w:r w:rsidR="00CF777F">
        <w:rPr>
          <w:rFonts w:ascii="Times New Roman" w:hAnsi="Times New Roman"/>
          <w:sz w:val="20"/>
          <w:szCs w:val="20"/>
        </w:rPr>
        <w:t>B</w:t>
      </w:r>
      <w:r>
        <w:rPr>
          <w:rFonts w:ascii="Times New Roman" w:hAnsi="Times New Roman"/>
          <w:sz w:val="20"/>
          <w:szCs w:val="20"/>
        </w:rPr>
        <w:t xml:space="preserve"> and reduce the device power consumption</w:t>
      </w:r>
    </w:p>
    <w:p w14:paraId="1AA11D10" w14:textId="77777777"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URLLC (Ultra-Reliable Low Latency Communication): the main design goal is to achieve ultra-reliable communication with very low latency</w:t>
      </w:r>
    </w:p>
    <w:p w14:paraId="2E68DD92" w14:textId="77777777" w:rsidR="002E267F" w:rsidRPr="002E267F" w:rsidRDefault="002E267F" w:rsidP="002E267F">
      <w:pPr>
        <w:jc w:val="both"/>
        <w:rPr>
          <w:sz w:val="20"/>
          <w:szCs w:val="20"/>
        </w:rPr>
      </w:pPr>
    </w:p>
    <w:p w14:paraId="57C5E701" w14:textId="5252DD42" w:rsidR="00BB3D1A" w:rsidRDefault="00AD154D" w:rsidP="002E267F">
      <w:pPr>
        <w:jc w:val="both"/>
        <w:rPr>
          <w:sz w:val="20"/>
          <w:szCs w:val="20"/>
        </w:rPr>
      </w:pPr>
      <w:r>
        <w:rPr>
          <w:sz w:val="20"/>
          <w:szCs w:val="20"/>
        </w:rPr>
        <w:t>The performance requirement f</w:t>
      </w:r>
      <w:r w:rsidR="000D7CB6">
        <w:rPr>
          <w:sz w:val="20"/>
          <w:szCs w:val="20"/>
        </w:rPr>
        <w:t>or UR</w:t>
      </w:r>
      <w:r w:rsidR="002A37B7">
        <w:rPr>
          <w:sz w:val="20"/>
          <w:szCs w:val="20"/>
        </w:rPr>
        <w:t>LL</w:t>
      </w:r>
      <w:r w:rsidR="000D7CB6">
        <w:rPr>
          <w:sz w:val="20"/>
          <w:szCs w:val="20"/>
        </w:rPr>
        <w:t>C</w:t>
      </w:r>
      <w:r w:rsidR="003E5F68">
        <w:rPr>
          <w:sz w:val="20"/>
          <w:szCs w:val="20"/>
        </w:rPr>
        <w:t>,</w:t>
      </w:r>
      <w:r w:rsidR="000D7CB6">
        <w:rPr>
          <w:sz w:val="20"/>
          <w:szCs w:val="20"/>
        </w:rPr>
        <w:t xml:space="preserve"> as specified in 38.913, [1], </w:t>
      </w:r>
      <w:r w:rsidR="00BB3D1A">
        <w:rPr>
          <w:sz w:val="20"/>
          <w:szCs w:val="20"/>
        </w:rPr>
        <w:t>is to achieve 99.999% reliability with</w:t>
      </w:r>
      <w:r w:rsidR="002973EA">
        <w:rPr>
          <w:sz w:val="20"/>
          <w:szCs w:val="20"/>
        </w:rPr>
        <w:t>in</w:t>
      </w:r>
      <w:r w:rsidR="00BB3D1A">
        <w:rPr>
          <w:sz w:val="20"/>
          <w:szCs w:val="20"/>
        </w:rPr>
        <w:t xml:space="preserve"> 1ms delay bound</w:t>
      </w:r>
    </w:p>
    <w:p w14:paraId="1B69F60C" w14:textId="1E1560FB" w:rsidR="00330CC6" w:rsidRDefault="00330CC6" w:rsidP="001622D5">
      <w:pPr>
        <w:jc w:val="both"/>
        <w:rPr>
          <w:sz w:val="20"/>
          <w:szCs w:val="20"/>
        </w:rPr>
      </w:pP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2F0449CD" w14:textId="77777777" w:rsidR="00F65E26" w:rsidRDefault="00F65E26" w:rsidP="00F65E26">
            <w:pPr>
              <w:rPr>
                <w:sz w:val="20"/>
                <w:szCs w:val="20"/>
              </w:rPr>
            </w:pPr>
            <w:r w:rsidRPr="00F65E26">
              <w:rPr>
                <w:rFonts w:hint="eastAsia"/>
                <w:sz w:val="20"/>
                <w:szCs w:val="20"/>
              </w:rPr>
              <w:t>Reliability can be evaluated by t</w:t>
            </w:r>
            <w:r w:rsidRPr="00F65E26">
              <w:rPr>
                <w:sz w:val="20"/>
                <w:szCs w:val="20"/>
              </w:rPr>
              <w:t>he success probability of transmitting X bytes</w:t>
            </w:r>
            <w:r w:rsidRPr="00F65E26">
              <w:rPr>
                <w:rFonts w:eastAsia="SimSun" w:hint="eastAsia"/>
                <w:sz w:val="20"/>
                <w:szCs w:val="20"/>
              </w:rPr>
              <w:t xml:space="preserve"> </w:t>
            </w:r>
            <w:r w:rsidRPr="00F65E26">
              <w:rPr>
                <w:sz w:val="20"/>
                <w:szCs w:val="20"/>
              </w:rPr>
              <w:t xml:space="preserve">within </w:t>
            </w:r>
            <w:r w:rsidRPr="00F65E26">
              <w:rPr>
                <w:rFonts w:eastAsia="SimSun" w:hint="eastAsia"/>
                <w:sz w:val="20"/>
                <w:szCs w:val="20"/>
              </w:rPr>
              <w:t>a certain delay</w:t>
            </w:r>
            <w:r w:rsidRPr="00F65E26">
              <w:rPr>
                <w:sz w:val="20"/>
                <w:szCs w:val="20"/>
              </w:rPr>
              <w:t>, which is the time it takes to deliver a small data packet from the radio protocol layer 2/3 SDU ingress point to the radio protocol layer 2/3 SDU egress point of the radio interface, at a certain channel quality (e.g., coverage-edge).</w:t>
            </w:r>
          </w:p>
          <w:p w14:paraId="48CAD579" w14:textId="77777777" w:rsidR="00F65E26" w:rsidRPr="00F65E26" w:rsidRDefault="00F65E26" w:rsidP="00F65E26">
            <w:pPr>
              <w:rPr>
                <w:sz w:val="20"/>
                <w:szCs w:val="20"/>
              </w:rPr>
            </w:pPr>
          </w:p>
          <w:p w14:paraId="6A266093" w14:textId="228E511F" w:rsidR="00330CC6" w:rsidRPr="00F65E26" w:rsidRDefault="00F65E26" w:rsidP="00F65E26">
            <w:pPr>
              <w:rPr>
                <w:rFonts w:eastAsia="SimSun"/>
              </w:rPr>
            </w:pPr>
            <w:r w:rsidRPr="00F65E26">
              <w:rPr>
                <w:sz w:val="20"/>
                <w:szCs w:val="20"/>
              </w:rPr>
              <w:t xml:space="preserve">A general URLLC reliability requirement </w:t>
            </w:r>
            <w:r w:rsidRPr="00F65E26">
              <w:rPr>
                <w:rFonts w:eastAsia="MS Mincho" w:hint="eastAsia"/>
                <w:sz w:val="20"/>
                <w:szCs w:val="20"/>
                <w:lang w:eastAsia="ja-JP"/>
              </w:rPr>
              <w:t xml:space="preserve">for one </w:t>
            </w:r>
            <w:r w:rsidRPr="00F65E26">
              <w:rPr>
                <w:rFonts w:eastAsia="MS Mincho"/>
                <w:sz w:val="20"/>
                <w:szCs w:val="20"/>
                <w:lang w:eastAsia="ja-JP"/>
              </w:rPr>
              <w:t>transmission</w:t>
            </w:r>
            <w:r w:rsidRPr="00F65E26">
              <w:rPr>
                <w:rFonts w:eastAsia="MS Mincho" w:hint="eastAsia"/>
                <w:sz w:val="20"/>
                <w:szCs w:val="20"/>
                <w:lang w:eastAsia="ja-JP"/>
              </w:rPr>
              <w:t xml:space="preserve"> of a packet is</w:t>
            </w:r>
            <w:r w:rsidRPr="00F65E26">
              <w:rPr>
                <w:sz w:val="20"/>
                <w:szCs w:val="20"/>
              </w:rPr>
              <w:t xml:space="preserve"> 1-10</w:t>
            </w:r>
            <w:r w:rsidRPr="00F65E26">
              <w:rPr>
                <w:sz w:val="20"/>
                <w:szCs w:val="20"/>
                <w:vertAlign w:val="superscript"/>
              </w:rPr>
              <w:t>-5</w:t>
            </w:r>
            <w:r w:rsidRPr="00F65E26">
              <w:rPr>
                <w:sz w:val="20"/>
                <w:szCs w:val="20"/>
              </w:rPr>
              <w:t xml:space="preserve"> for </w:t>
            </w:r>
            <w:r w:rsidRPr="00F65E26">
              <w:rPr>
                <w:rFonts w:eastAsia="SimSun" w:hint="eastAsia"/>
                <w:sz w:val="20"/>
                <w:szCs w:val="20"/>
              </w:rPr>
              <w:t>32</w:t>
            </w:r>
            <w:r w:rsidRPr="00F65E26">
              <w:rPr>
                <w:sz w:val="20"/>
                <w:szCs w:val="20"/>
              </w:rPr>
              <w:t xml:space="preserve"> bytes</w:t>
            </w:r>
            <w:r w:rsidRPr="00F65E26">
              <w:rPr>
                <w:rFonts w:eastAsia="MS Mincho" w:hint="eastAsia"/>
                <w:sz w:val="20"/>
                <w:szCs w:val="20"/>
                <w:lang w:eastAsia="ja-JP"/>
              </w:rPr>
              <w:t xml:space="preserve"> with a user plane latency of</w:t>
            </w:r>
            <w:r w:rsidRPr="00F65E26">
              <w:rPr>
                <w:sz w:val="20"/>
                <w:szCs w:val="20"/>
              </w:rPr>
              <w:t xml:space="preserve"> 1ms</w:t>
            </w:r>
            <w:r w:rsidRPr="00F65E26">
              <w:rPr>
                <w:rFonts w:eastAsia="SimSun" w:hint="eastAsia"/>
                <w:sz w:val="20"/>
                <w:szCs w:val="20"/>
              </w:rPr>
              <w:t>.</w:t>
            </w:r>
          </w:p>
        </w:tc>
      </w:tr>
    </w:tbl>
    <w:p w14:paraId="451E2283" w14:textId="4B10EC72" w:rsidR="00FB07D3" w:rsidRDefault="0085042A" w:rsidP="001622D5">
      <w:pPr>
        <w:jc w:val="both"/>
        <w:rPr>
          <w:sz w:val="20"/>
          <w:szCs w:val="20"/>
        </w:rPr>
      </w:pPr>
      <w:r>
        <w:rPr>
          <w:sz w:val="20"/>
          <w:szCs w:val="20"/>
        </w:rPr>
        <w:t xml:space="preserve"> </w:t>
      </w:r>
    </w:p>
    <w:p w14:paraId="38AE5AA8" w14:textId="77777777" w:rsidR="0069587A" w:rsidRDefault="0069587A" w:rsidP="001622D5">
      <w:pPr>
        <w:jc w:val="both"/>
        <w:rPr>
          <w:sz w:val="20"/>
          <w:szCs w:val="20"/>
        </w:rPr>
      </w:pPr>
      <w:r>
        <w:rPr>
          <w:sz w:val="20"/>
          <w:szCs w:val="20"/>
        </w:rPr>
        <w:t>In order to achieve ultra-reliable and low latency communication, there are a few techniques that can be employed to improve the efficiency of the system</w:t>
      </w:r>
    </w:p>
    <w:p w14:paraId="7AAF4666" w14:textId="77777777" w:rsidR="0069587A" w:rsidRDefault="0069587A" w:rsidP="001622D5">
      <w:pPr>
        <w:jc w:val="both"/>
        <w:rPr>
          <w:sz w:val="20"/>
          <w:szCs w:val="20"/>
        </w:rPr>
      </w:pPr>
    </w:p>
    <w:p w14:paraId="58AD28E3" w14:textId="32224CE8" w:rsidR="0069587A" w:rsidRDefault="0069587A"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Reduce the scheduling latency: with 1ms delay bound, it is very important to reduce the latency </w:t>
      </w:r>
      <w:r w:rsidR="006E5EAD">
        <w:rPr>
          <w:rFonts w:ascii="Times New Roman" w:hAnsi="Times New Roman"/>
          <w:sz w:val="20"/>
          <w:szCs w:val="20"/>
        </w:rPr>
        <w:t>spent</w:t>
      </w:r>
      <w:r>
        <w:rPr>
          <w:rFonts w:ascii="Times New Roman" w:hAnsi="Times New Roman"/>
          <w:sz w:val="20"/>
          <w:szCs w:val="20"/>
        </w:rPr>
        <w:t xml:space="preserve"> in </w:t>
      </w:r>
      <w:r w:rsidR="006E5EAD">
        <w:rPr>
          <w:rFonts w:ascii="Times New Roman" w:hAnsi="Times New Roman"/>
          <w:sz w:val="20"/>
          <w:szCs w:val="20"/>
        </w:rPr>
        <w:t>scheduling</w:t>
      </w:r>
      <w:r>
        <w:rPr>
          <w:rFonts w:ascii="Times New Roman" w:hAnsi="Times New Roman"/>
          <w:sz w:val="20"/>
          <w:szCs w:val="20"/>
        </w:rPr>
        <w:t xml:space="preserve"> delay.</w:t>
      </w:r>
      <w:r w:rsidR="00355BD0">
        <w:rPr>
          <w:rFonts w:ascii="Times New Roman" w:hAnsi="Times New Roman"/>
          <w:sz w:val="20"/>
          <w:szCs w:val="20"/>
        </w:rPr>
        <w:t xml:space="preserve"> The fast</w:t>
      </w:r>
      <w:r w:rsidR="00C92C66">
        <w:rPr>
          <w:rFonts w:ascii="Times New Roman" w:hAnsi="Times New Roman"/>
          <w:sz w:val="20"/>
          <w:szCs w:val="20"/>
        </w:rPr>
        <w:t>er</w:t>
      </w:r>
      <w:r w:rsidR="00355BD0">
        <w:rPr>
          <w:rFonts w:ascii="Times New Roman" w:hAnsi="Times New Roman"/>
          <w:sz w:val="20"/>
          <w:szCs w:val="20"/>
        </w:rPr>
        <w:t xml:space="preserve"> the gNB </w:t>
      </w:r>
      <w:r w:rsidR="001603C9">
        <w:rPr>
          <w:rFonts w:ascii="Times New Roman" w:hAnsi="Times New Roman"/>
          <w:sz w:val="20"/>
          <w:szCs w:val="20"/>
        </w:rPr>
        <w:t>schedules</w:t>
      </w:r>
      <w:r w:rsidR="00355BD0">
        <w:rPr>
          <w:rFonts w:ascii="Times New Roman" w:hAnsi="Times New Roman"/>
          <w:sz w:val="20"/>
          <w:szCs w:val="20"/>
        </w:rPr>
        <w:t xml:space="preserve"> the UE</w:t>
      </w:r>
      <w:r w:rsidR="001603C9">
        <w:rPr>
          <w:rFonts w:ascii="Times New Roman" w:hAnsi="Times New Roman"/>
          <w:sz w:val="20"/>
          <w:szCs w:val="20"/>
        </w:rPr>
        <w:t xml:space="preserve"> after packet arrival</w:t>
      </w:r>
      <w:r w:rsidR="00355BD0">
        <w:rPr>
          <w:rFonts w:ascii="Times New Roman" w:hAnsi="Times New Roman"/>
          <w:sz w:val="20"/>
          <w:szCs w:val="20"/>
        </w:rPr>
        <w:t xml:space="preserve">, the more time could </w:t>
      </w:r>
      <w:r w:rsidR="00FC1A28">
        <w:rPr>
          <w:rFonts w:ascii="Times New Roman" w:hAnsi="Times New Roman"/>
          <w:sz w:val="20"/>
          <w:szCs w:val="20"/>
        </w:rPr>
        <w:t xml:space="preserve">be </w:t>
      </w:r>
      <w:r w:rsidR="00355BD0">
        <w:rPr>
          <w:rFonts w:ascii="Times New Roman" w:hAnsi="Times New Roman"/>
          <w:sz w:val="20"/>
          <w:szCs w:val="20"/>
        </w:rPr>
        <w:t>spen</w:t>
      </w:r>
      <w:r w:rsidR="00FC1A28">
        <w:rPr>
          <w:rFonts w:ascii="Times New Roman" w:hAnsi="Times New Roman"/>
          <w:sz w:val="20"/>
          <w:szCs w:val="20"/>
        </w:rPr>
        <w:t>t</w:t>
      </w:r>
      <w:r w:rsidR="00355BD0">
        <w:rPr>
          <w:rFonts w:ascii="Times New Roman" w:hAnsi="Times New Roman"/>
          <w:sz w:val="20"/>
          <w:szCs w:val="20"/>
        </w:rPr>
        <w:t xml:space="preserve"> in transmitting the actual packet before the de</w:t>
      </w:r>
      <w:r w:rsidR="00CF2EB9">
        <w:rPr>
          <w:rFonts w:ascii="Times New Roman" w:hAnsi="Times New Roman"/>
          <w:sz w:val="20"/>
          <w:szCs w:val="20"/>
        </w:rPr>
        <w:t>lay bound and, therefore, the higher</w:t>
      </w:r>
      <w:r w:rsidR="003F0415">
        <w:rPr>
          <w:rFonts w:ascii="Times New Roman" w:hAnsi="Times New Roman"/>
          <w:sz w:val="20"/>
          <w:szCs w:val="20"/>
        </w:rPr>
        <w:t xml:space="preserve"> </w:t>
      </w:r>
      <w:r w:rsidR="00CF2EB9">
        <w:rPr>
          <w:rFonts w:ascii="Times New Roman" w:hAnsi="Times New Roman"/>
          <w:sz w:val="20"/>
          <w:szCs w:val="20"/>
        </w:rPr>
        <w:t xml:space="preserve">the </w:t>
      </w:r>
      <w:r w:rsidR="003F0415">
        <w:rPr>
          <w:rFonts w:ascii="Times New Roman" w:hAnsi="Times New Roman"/>
          <w:sz w:val="20"/>
          <w:szCs w:val="20"/>
        </w:rPr>
        <w:t xml:space="preserve">reliability can </w:t>
      </w:r>
      <w:r w:rsidR="00CF2EB9">
        <w:rPr>
          <w:rFonts w:ascii="Times New Roman" w:hAnsi="Times New Roman"/>
          <w:sz w:val="20"/>
          <w:szCs w:val="20"/>
        </w:rPr>
        <w:t xml:space="preserve">be </w:t>
      </w:r>
      <w:r w:rsidR="003F0415">
        <w:rPr>
          <w:rFonts w:ascii="Times New Roman" w:hAnsi="Times New Roman"/>
          <w:sz w:val="20"/>
          <w:szCs w:val="20"/>
        </w:rPr>
        <w:t>achieve</w:t>
      </w:r>
      <w:r w:rsidR="00CF2EB9">
        <w:rPr>
          <w:rFonts w:ascii="Times New Roman" w:hAnsi="Times New Roman"/>
          <w:sz w:val="20"/>
          <w:szCs w:val="20"/>
        </w:rPr>
        <w:t>d</w:t>
      </w:r>
      <w:r w:rsidR="00CC4AF6">
        <w:rPr>
          <w:rFonts w:ascii="Times New Roman" w:hAnsi="Times New Roman"/>
          <w:sz w:val="20"/>
          <w:szCs w:val="20"/>
        </w:rPr>
        <w:t>.</w:t>
      </w:r>
    </w:p>
    <w:p w14:paraId="696168FD" w14:textId="65CFEB90" w:rsidR="006E5EAD" w:rsidRDefault="006A0AE9"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HARQ transmission: Due to various uncertainty in the link adaption, including CQI estimation error, channel variation, </w:t>
      </w:r>
      <w:r w:rsidR="0078131E">
        <w:rPr>
          <w:rFonts w:ascii="Times New Roman" w:hAnsi="Times New Roman"/>
          <w:sz w:val="20"/>
          <w:szCs w:val="20"/>
        </w:rPr>
        <w:t xml:space="preserve">interference and noise variation </w:t>
      </w:r>
      <w:r>
        <w:rPr>
          <w:rFonts w:ascii="Times New Roman" w:hAnsi="Times New Roman"/>
          <w:sz w:val="20"/>
          <w:szCs w:val="20"/>
        </w:rPr>
        <w:t>etc., it is</w:t>
      </w:r>
      <w:r w:rsidR="009443BA">
        <w:rPr>
          <w:rFonts w:ascii="Times New Roman" w:hAnsi="Times New Roman"/>
          <w:sz w:val="20"/>
          <w:szCs w:val="20"/>
        </w:rPr>
        <w:t xml:space="preserve"> very difficult for the scheduler</w:t>
      </w:r>
      <w:r>
        <w:rPr>
          <w:rFonts w:ascii="Times New Roman" w:hAnsi="Times New Roman"/>
          <w:sz w:val="20"/>
          <w:szCs w:val="20"/>
        </w:rPr>
        <w:t xml:space="preserve"> to perfectly predict the decoding outcome of the transmission. Therefore, if the system targets to achieve high reliability </w:t>
      </w:r>
      <w:r w:rsidR="00E632A2">
        <w:rPr>
          <w:rFonts w:ascii="Times New Roman" w:hAnsi="Times New Roman"/>
          <w:sz w:val="20"/>
          <w:szCs w:val="20"/>
        </w:rPr>
        <w:t>wit</w:t>
      </w:r>
      <w:r w:rsidR="004D393F">
        <w:rPr>
          <w:rFonts w:ascii="Times New Roman" w:hAnsi="Times New Roman"/>
          <w:sz w:val="20"/>
          <w:szCs w:val="20"/>
        </w:rPr>
        <w:t xml:space="preserve">h single transmission, it </w:t>
      </w:r>
      <w:r w:rsidR="00221969">
        <w:rPr>
          <w:rFonts w:ascii="Times New Roman" w:hAnsi="Times New Roman"/>
          <w:sz w:val="20"/>
          <w:szCs w:val="20"/>
        </w:rPr>
        <w:t xml:space="preserve">inevitably </w:t>
      </w:r>
      <w:r w:rsidR="004D393F">
        <w:rPr>
          <w:rFonts w:ascii="Times New Roman" w:hAnsi="Times New Roman"/>
          <w:sz w:val="20"/>
          <w:szCs w:val="20"/>
        </w:rPr>
        <w:t xml:space="preserve">requires excessive resource and power to be spent in order to provide the margin for link adaptation uncertainty, this clearly negatively impact the system efficiency. Therefore, HARQ transmission is a nature solution to achieve </w:t>
      </w:r>
      <w:r w:rsidR="00285F18">
        <w:rPr>
          <w:rFonts w:ascii="Times New Roman" w:hAnsi="Times New Roman"/>
          <w:sz w:val="20"/>
          <w:szCs w:val="20"/>
        </w:rPr>
        <w:t>efficient</w:t>
      </w:r>
      <w:r w:rsidR="004D393F">
        <w:rPr>
          <w:rFonts w:ascii="Times New Roman" w:hAnsi="Times New Roman"/>
          <w:sz w:val="20"/>
          <w:szCs w:val="20"/>
        </w:rPr>
        <w:t xml:space="preserve"> </w:t>
      </w:r>
      <w:r w:rsidR="00735A69">
        <w:rPr>
          <w:rFonts w:ascii="Times New Roman" w:hAnsi="Times New Roman"/>
          <w:sz w:val="20"/>
          <w:szCs w:val="20"/>
        </w:rPr>
        <w:t>communication</w:t>
      </w:r>
      <w:r w:rsidR="004D393F">
        <w:rPr>
          <w:rFonts w:ascii="Times New Roman" w:hAnsi="Times New Roman"/>
          <w:sz w:val="20"/>
          <w:szCs w:val="20"/>
        </w:rPr>
        <w:t xml:space="preserve"> while meeting high reliability requirement</w:t>
      </w:r>
    </w:p>
    <w:p w14:paraId="4298B117" w14:textId="1911C092" w:rsidR="004D393F" w:rsidRDefault="00AC10E5"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Mini-slot transmission with fast ACK/NAK turn around: </w:t>
      </w:r>
      <w:r w:rsidR="00E14232">
        <w:rPr>
          <w:rFonts w:ascii="Times New Roman" w:hAnsi="Times New Roman"/>
          <w:sz w:val="20"/>
          <w:szCs w:val="20"/>
        </w:rPr>
        <w:t xml:space="preserve">When system operates in </w:t>
      </w:r>
      <w:r w:rsidR="005C27ED">
        <w:rPr>
          <w:rFonts w:ascii="Times New Roman" w:hAnsi="Times New Roman"/>
          <w:sz w:val="20"/>
          <w:szCs w:val="20"/>
        </w:rPr>
        <w:t>tight 1ms delay bound and high reliability requirement, in order for the HARQ transmission to operat</w:t>
      </w:r>
      <w:r w:rsidR="00043ABD">
        <w:rPr>
          <w:rFonts w:ascii="Times New Roman" w:hAnsi="Times New Roman"/>
          <w:sz w:val="20"/>
          <w:szCs w:val="20"/>
        </w:rPr>
        <w:t>e</w:t>
      </w:r>
      <w:r w:rsidR="005C27ED">
        <w:rPr>
          <w:rFonts w:ascii="Times New Roman" w:hAnsi="Times New Roman"/>
          <w:sz w:val="20"/>
          <w:szCs w:val="20"/>
        </w:rPr>
        <w:t xml:space="preserve"> efficien</w:t>
      </w:r>
      <w:r w:rsidR="00043ABD">
        <w:rPr>
          <w:rFonts w:ascii="Times New Roman" w:hAnsi="Times New Roman"/>
          <w:sz w:val="20"/>
          <w:szCs w:val="20"/>
        </w:rPr>
        <w:t>tly</w:t>
      </w:r>
      <w:r w:rsidR="005C27ED">
        <w:rPr>
          <w:rFonts w:ascii="Times New Roman" w:hAnsi="Times New Roman"/>
          <w:sz w:val="20"/>
          <w:szCs w:val="20"/>
        </w:rPr>
        <w:t xml:space="preserve">, it is important to support min-slot operation as well as the fast HARQ ACK/NAK turn around. </w:t>
      </w:r>
    </w:p>
    <w:p w14:paraId="7103496E" w14:textId="77777777" w:rsidR="00E14B94" w:rsidRDefault="00E14B94" w:rsidP="00E14B94">
      <w:pPr>
        <w:jc w:val="both"/>
        <w:rPr>
          <w:sz w:val="20"/>
          <w:szCs w:val="20"/>
        </w:rPr>
      </w:pPr>
    </w:p>
    <w:p w14:paraId="591557E3" w14:textId="72A31375" w:rsidR="00E14B94" w:rsidRPr="00E14B94" w:rsidRDefault="00E14B94" w:rsidP="00E14B94">
      <w:pPr>
        <w:jc w:val="both"/>
        <w:rPr>
          <w:sz w:val="20"/>
          <w:szCs w:val="20"/>
        </w:rPr>
      </w:pPr>
      <w:r>
        <w:rPr>
          <w:sz w:val="20"/>
          <w:szCs w:val="20"/>
        </w:rPr>
        <w:t>In Rel-16 NR</w:t>
      </w:r>
      <w:r w:rsidR="00C00E3C">
        <w:rPr>
          <w:sz w:val="20"/>
          <w:szCs w:val="20"/>
        </w:rPr>
        <w:t>, a new</w:t>
      </w:r>
      <w:r>
        <w:rPr>
          <w:sz w:val="20"/>
          <w:szCs w:val="20"/>
        </w:rPr>
        <w:t xml:space="preserve"> URLLC enhancement SI</w:t>
      </w:r>
      <w:r w:rsidR="00C00E3C">
        <w:rPr>
          <w:sz w:val="20"/>
          <w:szCs w:val="20"/>
        </w:rPr>
        <w:t xml:space="preserve"> was approved </w:t>
      </w:r>
      <w:r w:rsidR="00FE048F">
        <w:rPr>
          <w:sz w:val="20"/>
          <w:szCs w:val="20"/>
        </w:rPr>
        <w:t>[2]</w:t>
      </w:r>
    </w:p>
    <w:p w14:paraId="0BD64FAB" w14:textId="77777777" w:rsidR="006120BA" w:rsidRDefault="006120BA" w:rsidP="00417327">
      <w:pPr>
        <w:jc w:val="both"/>
        <w:rPr>
          <w:sz w:val="20"/>
          <w:szCs w:val="20"/>
        </w:rPr>
      </w:pPr>
    </w:p>
    <w:p w14:paraId="4A565538" w14:textId="76D0B31D" w:rsidR="00F91C4B" w:rsidRDefault="006120BA" w:rsidP="00764EEA">
      <w:pPr>
        <w:jc w:val="both"/>
        <w:rPr>
          <w:sz w:val="20"/>
          <w:szCs w:val="20"/>
        </w:rPr>
      </w:pPr>
      <w:r>
        <w:rPr>
          <w:sz w:val="20"/>
          <w:szCs w:val="20"/>
        </w:rPr>
        <w:t xml:space="preserve">In this contribution, we focus on the </w:t>
      </w:r>
      <w:r w:rsidR="00F91C4B">
        <w:rPr>
          <w:sz w:val="20"/>
          <w:szCs w:val="20"/>
        </w:rPr>
        <w:t>enhancement of URLLC performance for the cell edge UEs.</w:t>
      </w:r>
      <w:r w:rsidR="00764EEA">
        <w:rPr>
          <w:sz w:val="20"/>
          <w:szCs w:val="20"/>
        </w:rPr>
        <w:t xml:space="preserve"> Figure 1 illustrates the problem for the UEs at cell edge. Clearly, it is more</w:t>
      </w:r>
      <w:r w:rsidR="00764EEA" w:rsidRPr="00764EEA">
        <w:rPr>
          <w:sz w:val="20"/>
          <w:szCs w:val="20"/>
        </w:rPr>
        <w:t xml:space="preserve"> challenging for the cell edge user to meet </w:t>
      </w:r>
      <w:r w:rsidR="00764EEA">
        <w:rPr>
          <w:sz w:val="20"/>
          <w:szCs w:val="20"/>
        </w:rPr>
        <w:t xml:space="preserve">URLLC QoS requirement due to multiple reasons, including (1) </w:t>
      </w:r>
      <w:r w:rsidR="00764EEA" w:rsidRPr="00764EEA">
        <w:rPr>
          <w:sz w:val="20"/>
          <w:szCs w:val="20"/>
        </w:rPr>
        <w:t>Cell edge user is the furthest from the serving cell</w:t>
      </w:r>
      <w:r w:rsidR="00764EEA">
        <w:rPr>
          <w:sz w:val="20"/>
          <w:szCs w:val="20"/>
        </w:rPr>
        <w:t xml:space="preserve">, hence more prone to be noise </w:t>
      </w:r>
      <w:r w:rsidR="00073157">
        <w:rPr>
          <w:sz w:val="20"/>
          <w:szCs w:val="20"/>
        </w:rPr>
        <w:t>limited</w:t>
      </w:r>
      <w:r w:rsidR="00764EEA">
        <w:rPr>
          <w:sz w:val="20"/>
          <w:szCs w:val="20"/>
        </w:rPr>
        <w:t xml:space="preserve">. (2) </w:t>
      </w:r>
      <w:r w:rsidR="00764EEA" w:rsidRPr="00764EEA">
        <w:rPr>
          <w:sz w:val="20"/>
          <w:szCs w:val="20"/>
        </w:rPr>
        <w:t>Cell edge user also experiences strong interference from the neighboring cells</w:t>
      </w:r>
      <w:r w:rsidR="00764EEA">
        <w:rPr>
          <w:sz w:val="20"/>
          <w:szCs w:val="20"/>
        </w:rPr>
        <w:t>. To enhancement the cell edge user performance, w</w:t>
      </w:r>
      <w:r w:rsidR="00764EEA" w:rsidRPr="00764EEA">
        <w:rPr>
          <w:sz w:val="20"/>
          <w:szCs w:val="20"/>
        </w:rPr>
        <w:t>e propose a few mechanisms that can be used to improve the URLLC reliability</w:t>
      </w:r>
      <w:r w:rsidR="00C77181">
        <w:rPr>
          <w:sz w:val="20"/>
          <w:szCs w:val="20"/>
        </w:rPr>
        <w:t>.</w:t>
      </w:r>
    </w:p>
    <w:p w14:paraId="1E0205D4" w14:textId="77777777" w:rsidR="00F91C4B" w:rsidRDefault="00F91C4B" w:rsidP="006120BA">
      <w:pPr>
        <w:jc w:val="both"/>
        <w:rPr>
          <w:sz w:val="20"/>
          <w:szCs w:val="20"/>
        </w:rPr>
      </w:pPr>
    </w:p>
    <w:p w14:paraId="6B059A01" w14:textId="77777777" w:rsidR="00764EEA" w:rsidRDefault="00764EEA" w:rsidP="00764EEA">
      <w:pPr>
        <w:keepNext/>
        <w:jc w:val="center"/>
      </w:pPr>
      <w:r w:rsidRPr="00764EEA">
        <w:rPr>
          <w:noProof/>
          <w:sz w:val="20"/>
          <w:szCs w:val="20"/>
        </w:rPr>
        <w:lastRenderedPageBreak/>
        <w:drawing>
          <wp:inline distT="0" distB="0" distL="0" distR="0" wp14:anchorId="458DD821" wp14:editId="6369E9A0">
            <wp:extent cx="3186877" cy="3444402"/>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02485" cy="3461271"/>
                    </a:xfrm>
                    <a:prstGeom prst="rect">
                      <a:avLst/>
                    </a:prstGeom>
                  </pic:spPr>
                </pic:pic>
              </a:graphicData>
            </a:graphic>
          </wp:inline>
        </w:drawing>
      </w:r>
    </w:p>
    <w:p w14:paraId="37A23AAE" w14:textId="13520C6C" w:rsidR="00764EEA" w:rsidRPr="00690B3B" w:rsidRDefault="00764EEA" w:rsidP="00D22921">
      <w:pPr>
        <w:pStyle w:val="Caption"/>
        <w:rPr>
          <w:sz w:val="15"/>
          <w:szCs w:val="20"/>
        </w:rPr>
      </w:pPr>
      <w:r w:rsidRPr="00690B3B">
        <w:rPr>
          <w:sz w:val="20"/>
        </w:rPr>
        <w:t xml:space="preserve">Figure </w:t>
      </w:r>
      <w:r w:rsidRPr="00690B3B">
        <w:rPr>
          <w:sz w:val="20"/>
        </w:rPr>
        <w:fldChar w:fldCharType="begin"/>
      </w:r>
      <w:r w:rsidRPr="00690B3B">
        <w:rPr>
          <w:sz w:val="20"/>
        </w:rPr>
        <w:instrText xml:space="preserve"> SEQ Figure \* ARABIC </w:instrText>
      </w:r>
      <w:r w:rsidRPr="00690B3B">
        <w:rPr>
          <w:sz w:val="20"/>
        </w:rPr>
        <w:fldChar w:fldCharType="separate"/>
      </w:r>
      <w:r w:rsidR="0024468C">
        <w:rPr>
          <w:noProof/>
          <w:sz w:val="20"/>
        </w:rPr>
        <w:t>1</w:t>
      </w:r>
      <w:r w:rsidRPr="00690B3B">
        <w:rPr>
          <w:sz w:val="20"/>
        </w:rPr>
        <w:fldChar w:fldCharType="end"/>
      </w:r>
      <w:r w:rsidRPr="00690B3B">
        <w:rPr>
          <w:sz w:val="20"/>
        </w:rPr>
        <w:t xml:space="preserve"> URLLC UE at Cell Edge</w:t>
      </w:r>
    </w:p>
    <w:p w14:paraId="4E89D9B9" w14:textId="77777777" w:rsidR="00950E8C" w:rsidRDefault="00644BC1" w:rsidP="00365CF3">
      <w:pPr>
        <w:pStyle w:val="Heading1"/>
      </w:pPr>
      <w:r>
        <w:t xml:space="preserve">Enhancement to Mobility </w:t>
      </w:r>
      <w:r w:rsidR="00950E8C">
        <w:t>Procedures</w:t>
      </w:r>
    </w:p>
    <w:p w14:paraId="6FA5C7F6" w14:textId="30A524FF" w:rsidR="002335EC" w:rsidRDefault="00950E8C" w:rsidP="00950E8C">
      <w:pPr>
        <w:jc w:val="both"/>
        <w:rPr>
          <w:sz w:val="20"/>
          <w:szCs w:val="20"/>
        </w:rPr>
      </w:pPr>
      <w:r>
        <w:rPr>
          <w:sz w:val="20"/>
          <w:szCs w:val="20"/>
        </w:rPr>
        <w:t xml:space="preserve">Clearly, in order to support the enhancement to cell edge user URLLC performance, it is required for the NW and UE to be able to detect the condition of the cell edge at first. Similar concept was presented in UMTS in terms of the active set management. In summary, UE will monitor the strength of neighbor cells and report the appearance and disappearance of a strong neighbor cell to the NW when the neighbor cell quality becomes noticeably strong or weak. It is also beneficial for </w:t>
      </w:r>
      <w:r w:rsidRPr="00950E8C">
        <w:rPr>
          <w:sz w:val="20"/>
          <w:szCs w:val="20"/>
        </w:rPr>
        <w:t xml:space="preserve">NR </w:t>
      </w:r>
      <w:r>
        <w:rPr>
          <w:sz w:val="20"/>
          <w:szCs w:val="20"/>
        </w:rPr>
        <w:t xml:space="preserve">to </w:t>
      </w:r>
      <w:r w:rsidRPr="00950E8C">
        <w:rPr>
          <w:sz w:val="20"/>
          <w:szCs w:val="20"/>
        </w:rPr>
        <w:t xml:space="preserve">support </w:t>
      </w:r>
      <w:r w:rsidR="009C5762">
        <w:rPr>
          <w:sz w:val="20"/>
          <w:szCs w:val="20"/>
        </w:rPr>
        <w:t>similar</w:t>
      </w:r>
      <w:r w:rsidRPr="00950E8C">
        <w:rPr>
          <w:sz w:val="20"/>
          <w:szCs w:val="20"/>
        </w:rPr>
        <w:t xml:space="preserve"> mobility event and allows the UE </w:t>
      </w:r>
      <w:r>
        <w:rPr>
          <w:sz w:val="20"/>
          <w:szCs w:val="20"/>
        </w:rPr>
        <w:t xml:space="preserve">to </w:t>
      </w:r>
      <w:r w:rsidRPr="00950E8C">
        <w:rPr>
          <w:sz w:val="20"/>
          <w:szCs w:val="20"/>
        </w:rPr>
        <w:t>report the appearance the disappearance of the strong interference cell to the NW</w:t>
      </w:r>
      <w:r>
        <w:rPr>
          <w:sz w:val="20"/>
          <w:szCs w:val="20"/>
        </w:rPr>
        <w:t>. In order to reduce the report overhead and avoid ping pong, t</w:t>
      </w:r>
      <w:r w:rsidRPr="00950E8C">
        <w:rPr>
          <w:sz w:val="20"/>
          <w:szCs w:val="20"/>
        </w:rPr>
        <w:t>he report can be even</w:t>
      </w:r>
      <w:r>
        <w:rPr>
          <w:sz w:val="20"/>
          <w:szCs w:val="20"/>
        </w:rPr>
        <w:t>t</w:t>
      </w:r>
      <w:r w:rsidR="00B617E0">
        <w:rPr>
          <w:sz w:val="20"/>
          <w:szCs w:val="20"/>
        </w:rPr>
        <w:t xml:space="preserve"> </w:t>
      </w:r>
      <w:r w:rsidRPr="00950E8C">
        <w:rPr>
          <w:sz w:val="20"/>
          <w:szCs w:val="20"/>
        </w:rPr>
        <w:t>trigger based on the measurement, hysteresis and time to trigger or counter</w:t>
      </w:r>
      <w:r>
        <w:rPr>
          <w:sz w:val="20"/>
          <w:szCs w:val="20"/>
        </w:rPr>
        <w:t xml:space="preserve">, etc. </w:t>
      </w:r>
      <w:r w:rsidR="00D22921">
        <w:rPr>
          <w:sz w:val="20"/>
          <w:szCs w:val="20"/>
        </w:rPr>
        <w:t>The concept is illustrated in Figure 2.</w:t>
      </w:r>
    </w:p>
    <w:p w14:paraId="69309A10" w14:textId="77777777" w:rsidR="002335EC" w:rsidRDefault="002335EC" w:rsidP="00950E8C">
      <w:pPr>
        <w:jc w:val="both"/>
        <w:rPr>
          <w:sz w:val="20"/>
          <w:szCs w:val="20"/>
        </w:rPr>
      </w:pPr>
    </w:p>
    <w:p w14:paraId="3E9AA782" w14:textId="77777777" w:rsidR="00D22921" w:rsidRDefault="00D22921" w:rsidP="00690B3B">
      <w:pPr>
        <w:keepNext/>
        <w:jc w:val="center"/>
      </w:pPr>
      <w:r w:rsidRPr="00D22921">
        <w:rPr>
          <w:noProof/>
          <w:sz w:val="20"/>
          <w:szCs w:val="20"/>
        </w:rPr>
        <w:drawing>
          <wp:inline distT="0" distB="0" distL="0" distR="0" wp14:anchorId="45F0D8AD" wp14:editId="2CAEDCD0">
            <wp:extent cx="5136204" cy="19721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48851" cy="1976958"/>
                    </a:xfrm>
                    <a:prstGeom prst="rect">
                      <a:avLst/>
                    </a:prstGeom>
                  </pic:spPr>
                </pic:pic>
              </a:graphicData>
            </a:graphic>
          </wp:inline>
        </w:drawing>
      </w:r>
    </w:p>
    <w:p w14:paraId="147CA778" w14:textId="3D1DC66D" w:rsidR="002335EC" w:rsidRPr="00690B3B" w:rsidRDefault="00D22921" w:rsidP="00D22921">
      <w:pPr>
        <w:pStyle w:val="Caption"/>
        <w:rPr>
          <w:sz w:val="15"/>
          <w:szCs w:val="20"/>
        </w:rPr>
      </w:pPr>
      <w:r w:rsidRPr="00690B3B">
        <w:rPr>
          <w:sz w:val="20"/>
        </w:rPr>
        <w:t xml:space="preserve">Figure </w:t>
      </w:r>
      <w:r w:rsidRPr="00690B3B">
        <w:rPr>
          <w:sz w:val="20"/>
        </w:rPr>
        <w:fldChar w:fldCharType="begin"/>
      </w:r>
      <w:r w:rsidRPr="00690B3B">
        <w:rPr>
          <w:sz w:val="20"/>
        </w:rPr>
        <w:instrText xml:space="preserve"> SEQ Figure \* ARABIC </w:instrText>
      </w:r>
      <w:r w:rsidRPr="00690B3B">
        <w:rPr>
          <w:sz w:val="20"/>
        </w:rPr>
        <w:fldChar w:fldCharType="separate"/>
      </w:r>
      <w:r w:rsidR="0024468C">
        <w:rPr>
          <w:noProof/>
          <w:sz w:val="20"/>
        </w:rPr>
        <w:t>2</w:t>
      </w:r>
      <w:r w:rsidRPr="00690B3B">
        <w:rPr>
          <w:sz w:val="20"/>
        </w:rPr>
        <w:fldChar w:fldCharType="end"/>
      </w:r>
      <w:r w:rsidRPr="00690B3B">
        <w:rPr>
          <w:sz w:val="20"/>
        </w:rPr>
        <w:t xml:space="preserve"> Mobility Enhancement for URLLC Cell Edge UEs</w:t>
      </w:r>
    </w:p>
    <w:p w14:paraId="03ADB656" w14:textId="77777777" w:rsidR="006F574B" w:rsidRDefault="006F574B" w:rsidP="006F21A8">
      <w:pPr>
        <w:jc w:val="both"/>
        <w:rPr>
          <w:b/>
          <w:i/>
          <w:sz w:val="20"/>
          <w:szCs w:val="20"/>
        </w:rPr>
      </w:pPr>
    </w:p>
    <w:p w14:paraId="65C267A1" w14:textId="77777777" w:rsidR="00D22921" w:rsidRDefault="008C483A" w:rsidP="00536FF6">
      <w:pPr>
        <w:rPr>
          <w:b/>
          <w:i/>
          <w:sz w:val="20"/>
          <w:szCs w:val="20"/>
        </w:rPr>
      </w:pPr>
      <w:r w:rsidRPr="00430170">
        <w:rPr>
          <w:rFonts w:eastAsia="SimSun"/>
          <w:b/>
          <w:bCs/>
          <w:i/>
          <w:sz w:val="20"/>
          <w:szCs w:val="20"/>
          <w:u w:val="single"/>
        </w:rPr>
        <w:t xml:space="preserve">Proposal </w:t>
      </w:r>
      <w:r w:rsidR="00656668">
        <w:rPr>
          <w:rFonts w:eastAsia="SimSun"/>
          <w:b/>
          <w:bCs/>
          <w:i/>
          <w:sz w:val="20"/>
          <w:szCs w:val="20"/>
          <w:u w:val="single"/>
        </w:rPr>
        <w:t>1</w:t>
      </w:r>
      <w:r w:rsidRPr="00430170">
        <w:rPr>
          <w:rFonts w:eastAsia="SimSun"/>
          <w:bCs/>
          <w:i/>
          <w:sz w:val="20"/>
          <w:szCs w:val="20"/>
        </w:rPr>
        <w:t xml:space="preserve">: </w:t>
      </w:r>
      <w:r w:rsidR="00D22921">
        <w:rPr>
          <w:b/>
          <w:i/>
          <w:sz w:val="20"/>
          <w:szCs w:val="20"/>
        </w:rPr>
        <w:t>NR</w:t>
      </w:r>
      <w:r w:rsidR="00D22921" w:rsidRPr="00D22921">
        <w:rPr>
          <w:b/>
          <w:i/>
          <w:sz w:val="20"/>
          <w:szCs w:val="20"/>
        </w:rPr>
        <w:t xml:space="preserve"> </w:t>
      </w:r>
      <w:r w:rsidR="00D22921">
        <w:rPr>
          <w:b/>
          <w:i/>
          <w:sz w:val="20"/>
          <w:szCs w:val="20"/>
        </w:rPr>
        <w:t xml:space="preserve">to </w:t>
      </w:r>
      <w:r w:rsidR="00D22921" w:rsidRPr="00D22921">
        <w:rPr>
          <w:b/>
          <w:i/>
          <w:sz w:val="20"/>
          <w:szCs w:val="20"/>
        </w:rPr>
        <w:t>support mobility</w:t>
      </w:r>
      <w:r w:rsidR="00D22921">
        <w:rPr>
          <w:b/>
          <w:i/>
          <w:sz w:val="20"/>
          <w:szCs w:val="20"/>
        </w:rPr>
        <w:t xml:space="preserve"> enhancement by</w:t>
      </w:r>
      <w:r w:rsidR="00D22921" w:rsidRPr="00D22921">
        <w:rPr>
          <w:b/>
          <w:i/>
          <w:sz w:val="20"/>
          <w:szCs w:val="20"/>
        </w:rPr>
        <w:t xml:space="preserve"> allow</w:t>
      </w:r>
      <w:r w:rsidR="00D22921">
        <w:rPr>
          <w:b/>
          <w:i/>
          <w:sz w:val="20"/>
          <w:szCs w:val="20"/>
        </w:rPr>
        <w:t>ing</w:t>
      </w:r>
      <w:r w:rsidR="00D22921" w:rsidRPr="00D22921">
        <w:rPr>
          <w:b/>
          <w:i/>
          <w:sz w:val="20"/>
          <w:szCs w:val="20"/>
        </w:rPr>
        <w:t xml:space="preserve"> the UE </w:t>
      </w:r>
      <w:r w:rsidR="00D22921">
        <w:rPr>
          <w:b/>
          <w:i/>
          <w:sz w:val="20"/>
          <w:szCs w:val="20"/>
        </w:rPr>
        <w:t xml:space="preserve">to </w:t>
      </w:r>
      <w:r w:rsidR="00D22921" w:rsidRPr="00D22921">
        <w:rPr>
          <w:b/>
          <w:i/>
          <w:sz w:val="20"/>
          <w:szCs w:val="20"/>
        </w:rPr>
        <w:t>report the appearance the disappearance of the strong interfer</w:t>
      </w:r>
      <w:r w:rsidR="00D22921">
        <w:rPr>
          <w:b/>
          <w:i/>
          <w:sz w:val="20"/>
          <w:szCs w:val="20"/>
        </w:rPr>
        <w:t>ing</w:t>
      </w:r>
      <w:r w:rsidR="00D22921" w:rsidRPr="00D22921">
        <w:rPr>
          <w:b/>
          <w:i/>
          <w:sz w:val="20"/>
          <w:szCs w:val="20"/>
        </w:rPr>
        <w:t xml:space="preserve"> cell</w:t>
      </w:r>
      <w:r w:rsidR="00D22921">
        <w:rPr>
          <w:b/>
          <w:i/>
          <w:sz w:val="20"/>
          <w:szCs w:val="20"/>
        </w:rPr>
        <w:t>s</w:t>
      </w:r>
      <w:r w:rsidR="00D22921" w:rsidRPr="00D22921">
        <w:rPr>
          <w:b/>
          <w:i/>
          <w:sz w:val="20"/>
          <w:szCs w:val="20"/>
        </w:rPr>
        <w:t xml:space="preserve"> to the NW</w:t>
      </w:r>
      <w:r w:rsidR="00D22921">
        <w:rPr>
          <w:b/>
          <w:i/>
          <w:sz w:val="20"/>
          <w:szCs w:val="20"/>
        </w:rPr>
        <w:t>.</w:t>
      </w:r>
    </w:p>
    <w:p w14:paraId="1E54FEF9" w14:textId="7A3EEC2F" w:rsidR="00B617E0" w:rsidRDefault="00B617E0" w:rsidP="00423C45">
      <w:pPr>
        <w:pStyle w:val="Heading1"/>
      </w:pPr>
      <w:r>
        <w:t>Enhancement on the Multi</w:t>
      </w:r>
      <w:r w:rsidR="00C54D4F">
        <w:t>-</w:t>
      </w:r>
      <w:r>
        <w:t>TRP/gNB Reception</w:t>
      </w:r>
      <w:r w:rsidR="00282B4B">
        <w:t>/</w:t>
      </w:r>
      <w:r>
        <w:t>Transmission</w:t>
      </w:r>
    </w:p>
    <w:p w14:paraId="162E2F87" w14:textId="0EAEDF11" w:rsidR="00714A3F" w:rsidRDefault="00C54D4F" w:rsidP="00C54D4F">
      <w:pPr>
        <w:rPr>
          <w:sz w:val="20"/>
          <w:szCs w:val="20"/>
        </w:rPr>
      </w:pPr>
      <w:r>
        <w:rPr>
          <w:sz w:val="20"/>
          <w:szCs w:val="20"/>
        </w:rPr>
        <w:t xml:space="preserve">At the cell edge, one distinct </w:t>
      </w:r>
      <w:r w:rsidR="00714A3F">
        <w:rPr>
          <w:sz w:val="20"/>
          <w:szCs w:val="20"/>
        </w:rPr>
        <w:t xml:space="preserve">characteristics that can be utilized to enhance the URLLC performance is that fact that UE can receive signal from multiple TRP/gNB on DL and UE signal can be detected by multiple TRP/gNB on UL. </w:t>
      </w:r>
    </w:p>
    <w:p w14:paraId="65B04D11" w14:textId="3789605D" w:rsidR="00282B4B" w:rsidRDefault="00282B4B" w:rsidP="00C54D4F">
      <w:pPr>
        <w:rPr>
          <w:sz w:val="20"/>
          <w:szCs w:val="20"/>
        </w:rPr>
      </w:pPr>
    </w:p>
    <w:p w14:paraId="5BDAF424" w14:textId="77777777" w:rsidR="00282B4B" w:rsidRDefault="00282B4B" w:rsidP="00C54D4F">
      <w:pPr>
        <w:rPr>
          <w:sz w:val="20"/>
          <w:szCs w:val="20"/>
        </w:rPr>
      </w:pPr>
      <w:r>
        <w:rPr>
          <w:sz w:val="20"/>
          <w:szCs w:val="20"/>
        </w:rPr>
        <w:t>Similar as COMP in LTE, NR can also design schemes for multi-TRP/gNB reception/transmission in order to improve the performance on both the DL and UL direction.</w:t>
      </w:r>
    </w:p>
    <w:p w14:paraId="3F8256C2" w14:textId="06472F31" w:rsidR="00282B4B" w:rsidRPr="0063428B" w:rsidRDefault="00282B4B" w:rsidP="00C54D4F">
      <w:pPr>
        <w:rPr>
          <w:sz w:val="20"/>
          <w:szCs w:val="20"/>
        </w:rPr>
      </w:pPr>
    </w:p>
    <w:p w14:paraId="7BE799B9" w14:textId="4B718D6D" w:rsidR="00282B4B" w:rsidRPr="0063428B" w:rsidRDefault="00282B4B" w:rsidP="00C54D4F">
      <w:pPr>
        <w:rPr>
          <w:sz w:val="20"/>
          <w:szCs w:val="20"/>
        </w:rPr>
      </w:pPr>
      <w:r w:rsidRPr="0063428B">
        <w:rPr>
          <w:sz w:val="20"/>
          <w:szCs w:val="20"/>
        </w:rPr>
        <w:t xml:space="preserve">For DL, depending on the </w:t>
      </w:r>
      <w:r w:rsidR="00821C47" w:rsidRPr="0063428B">
        <w:rPr>
          <w:sz w:val="20"/>
          <w:szCs w:val="20"/>
        </w:rPr>
        <w:t xml:space="preserve">quality </w:t>
      </w:r>
      <w:r w:rsidR="00892B1D" w:rsidRPr="0063428B">
        <w:rPr>
          <w:sz w:val="20"/>
          <w:szCs w:val="20"/>
        </w:rPr>
        <w:t xml:space="preserve">of </w:t>
      </w:r>
      <w:r w:rsidRPr="0063428B">
        <w:rPr>
          <w:sz w:val="20"/>
          <w:szCs w:val="20"/>
        </w:rPr>
        <w:t>backhaul between multiple TRP or gNB, the coordination can be done at different time scale. The basic design choice is to coordinate the transmission of multiple TRP or gNB to either minimize the interference or enhance the transmission by pre-processing or post-processing o</w:t>
      </w:r>
      <w:r w:rsidR="00287886" w:rsidRPr="0063428B">
        <w:rPr>
          <w:sz w:val="20"/>
          <w:szCs w:val="20"/>
        </w:rPr>
        <w:t>f t</w:t>
      </w:r>
      <w:r w:rsidRPr="0063428B">
        <w:rPr>
          <w:sz w:val="20"/>
          <w:szCs w:val="20"/>
        </w:rPr>
        <w:t>he transmitted signals from multiple TRP/gNB.</w:t>
      </w:r>
      <w:r w:rsidR="001162E2" w:rsidRPr="0063428B">
        <w:rPr>
          <w:sz w:val="20"/>
          <w:szCs w:val="20"/>
        </w:rPr>
        <w:t xml:space="preserve"> There could be a few schemes to be considered</w:t>
      </w:r>
    </w:p>
    <w:p w14:paraId="5E4B6909" w14:textId="0E096154" w:rsidR="001162E2" w:rsidRPr="0063428B" w:rsidRDefault="001162E2" w:rsidP="00C54D4F">
      <w:pPr>
        <w:rPr>
          <w:sz w:val="20"/>
          <w:szCs w:val="20"/>
        </w:rPr>
      </w:pPr>
    </w:p>
    <w:p w14:paraId="60F1051F" w14:textId="522DC1F6" w:rsidR="001162E2" w:rsidRPr="0063428B" w:rsidRDefault="001162E2" w:rsidP="00C54D4F">
      <w:pPr>
        <w:pStyle w:val="ListParagraph"/>
        <w:numPr>
          <w:ilvl w:val="0"/>
          <w:numId w:val="36"/>
        </w:numPr>
        <w:rPr>
          <w:rFonts w:ascii="Times New Roman" w:hAnsi="Times New Roman"/>
          <w:sz w:val="20"/>
          <w:szCs w:val="20"/>
        </w:rPr>
      </w:pPr>
      <w:r w:rsidRPr="0063428B">
        <w:rPr>
          <w:rFonts w:ascii="Times New Roman" w:hAnsi="Times New Roman"/>
          <w:sz w:val="20"/>
          <w:szCs w:val="20"/>
        </w:rPr>
        <w:t xml:space="preserve">Configure the </w:t>
      </w:r>
      <w:r w:rsidR="00C54D4F" w:rsidRPr="0063428B">
        <w:rPr>
          <w:rFonts w:ascii="Times New Roman" w:hAnsi="Times New Roman"/>
          <w:sz w:val="20"/>
          <w:szCs w:val="20"/>
        </w:rPr>
        <w:t>UE to receive more than 1 PDSCH from multiple TRP/gNB simultaneously</w:t>
      </w:r>
      <w:r w:rsidRPr="0063428B">
        <w:rPr>
          <w:rFonts w:ascii="Times New Roman" w:hAnsi="Times New Roman"/>
          <w:sz w:val="20"/>
          <w:szCs w:val="20"/>
        </w:rPr>
        <w:t xml:space="preserve">. </w:t>
      </w:r>
      <w:r w:rsidR="00ED59F3">
        <w:rPr>
          <w:rFonts w:ascii="Times New Roman" w:hAnsi="Times New Roman"/>
          <w:sz w:val="20"/>
          <w:szCs w:val="20"/>
        </w:rPr>
        <w:t>Multiple</w:t>
      </w:r>
      <w:r w:rsidR="00C54D4F" w:rsidRPr="0063428B">
        <w:rPr>
          <w:rFonts w:ascii="Times New Roman" w:hAnsi="Times New Roman"/>
          <w:sz w:val="20"/>
          <w:szCs w:val="20"/>
        </w:rPr>
        <w:t xml:space="preserve"> PDSCH can be scheduled with the same DCI (PDCCH) or different DCI.</w:t>
      </w:r>
      <w:r w:rsidRPr="0063428B">
        <w:rPr>
          <w:rFonts w:ascii="Times New Roman" w:hAnsi="Times New Roman"/>
          <w:sz w:val="20"/>
          <w:szCs w:val="20"/>
        </w:rPr>
        <w:t xml:space="preserve"> In order to improve reliability,</w:t>
      </w:r>
      <w:r w:rsidR="00B65FB2">
        <w:rPr>
          <w:rFonts w:ascii="Times New Roman" w:hAnsi="Times New Roman"/>
          <w:sz w:val="20"/>
          <w:szCs w:val="20"/>
        </w:rPr>
        <w:t xml:space="preserve"> different</w:t>
      </w:r>
      <w:r w:rsidRPr="0063428B">
        <w:rPr>
          <w:rFonts w:ascii="Times New Roman" w:hAnsi="Times New Roman"/>
          <w:sz w:val="20"/>
          <w:szCs w:val="20"/>
        </w:rPr>
        <w:t xml:space="preserve"> PDSCH can carry the same payload, but the transmission can be scrambled differently. </w:t>
      </w:r>
      <w:r w:rsidR="00D72C6C">
        <w:rPr>
          <w:rFonts w:ascii="Times New Roman" w:hAnsi="Times New Roman"/>
          <w:sz w:val="20"/>
          <w:szCs w:val="20"/>
        </w:rPr>
        <w:t>Different</w:t>
      </w:r>
      <w:r w:rsidR="00C54D4F" w:rsidRPr="0063428B">
        <w:rPr>
          <w:rFonts w:ascii="Times New Roman" w:hAnsi="Times New Roman"/>
          <w:sz w:val="20"/>
          <w:szCs w:val="20"/>
        </w:rPr>
        <w:t xml:space="preserve"> PDSCH </w:t>
      </w:r>
      <w:r w:rsidRPr="0063428B">
        <w:rPr>
          <w:rFonts w:ascii="Times New Roman" w:hAnsi="Times New Roman"/>
          <w:sz w:val="20"/>
          <w:szCs w:val="20"/>
        </w:rPr>
        <w:t xml:space="preserve">can be mapped to the same HARQ ID in order to </w:t>
      </w:r>
      <w:r w:rsidR="00107EF8">
        <w:rPr>
          <w:rFonts w:ascii="Times New Roman" w:hAnsi="Times New Roman"/>
          <w:sz w:val="20"/>
          <w:szCs w:val="20"/>
        </w:rPr>
        <w:t xml:space="preserve">inform the UE about the repeated payload to </w:t>
      </w:r>
      <w:r w:rsidRPr="0063428B">
        <w:rPr>
          <w:rFonts w:ascii="Times New Roman" w:hAnsi="Times New Roman"/>
          <w:sz w:val="20"/>
          <w:szCs w:val="20"/>
        </w:rPr>
        <w:t>improve the reliability</w:t>
      </w:r>
      <w:r w:rsidR="00760C18" w:rsidRPr="0063428B">
        <w:rPr>
          <w:rFonts w:ascii="Times New Roman" w:hAnsi="Times New Roman"/>
          <w:sz w:val="20"/>
          <w:szCs w:val="20"/>
        </w:rPr>
        <w:t>. The concept is illustrated in Figure 3.</w:t>
      </w:r>
    </w:p>
    <w:p w14:paraId="7914285D" w14:textId="77777777" w:rsidR="00365D64" w:rsidRPr="0063428B" w:rsidRDefault="00365D64" w:rsidP="00365D64">
      <w:pPr>
        <w:pStyle w:val="ListParagraph"/>
        <w:rPr>
          <w:rFonts w:ascii="Times New Roman" w:hAnsi="Times New Roman"/>
          <w:sz w:val="20"/>
          <w:szCs w:val="20"/>
        </w:rPr>
      </w:pPr>
    </w:p>
    <w:p w14:paraId="742CD940" w14:textId="77777777" w:rsidR="00365D64" w:rsidRPr="0063428B" w:rsidRDefault="00365D64" w:rsidP="00365D64">
      <w:pPr>
        <w:pStyle w:val="ListParagraph"/>
        <w:keepNext/>
        <w:jc w:val="center"/>
        <w:rPr>
          <w:rFonts w:ascii="Times New Roman" w:hAnsi="Times New Roman"/>
        </w:rPr>
      </w:pPr>
      <w:r w:rsidRPr="0063428B">
        <w:rPr>
          <w:rFonts w:ascii="Times New Roman" w:hAnsi="Times New Roman"/>
          <w:noProof/>
          <w:sz w:val="20"/>
          <w:szCs w:val="20"/>
        </w:rPr>
        <w:drawing>
          <wp:inline distT="0" distB="0" distL="0" distR="0" wp14:anchorId="5B2FF6C9" wp14:editId="6998A181">
            <wp:extent cx="4569722" cy="1518974"/>
            <wp:effectExtent l="0" t="0" r="254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8628" cy="1521934"/>
                    </a:xfrm>
                    <a:prstGeom prst="rect">
                      <a:avLst/>
                    </a:prstGeom>
                  </pic:spPr>
                </pic:pic>
              </a:graphicData>
            </a:graphic>
          </wp:inline>
        </w:drawing>
      </w:r>
    </w:p>
    <w:p w14:paraId="27F9155D" w14:textId="4ADFA0A6"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3</w:t>
      </w:r>
      <w:r w:rsidRPr="0063428B">
        <w:rPr>
          <w:sz w:val="20"/>
        </w:rPr>
        <w:fldChar w:fldCharType="end"/>
      </w:r>
      <w:r w:rsidRPr="0063428B">
        <w:rPr>
          <w:sz w:val="20"/>
        </w:rPr>
        <w:t xml:space="preserve"> Multiple PDSCH Enhancement</w:t>
      </w:r>
    </w:p>
    <w:p w14:paraId="3A785D32" w14:textId="77777777" w:rsidR="00365D64" w:rsidRPr="0063428B" w:rsidRDefault="00365D64" w:rsidP="00365D64">
      <w:pPr>
        <w:pStyle w:val="ListParagraph"/>
        <w:jc w:val="center"/>
        <w:rPr>
          <w:rFonts w:ascii="Times New Roman" w:hAnsi="Times New Roman"/>
          <w:sz w:val="20"/>
          <w:szCs w:val="20"/>
        </w:rPr>
      </w:pPr>
    </w:p>
    <w:p w14:paraId="0E196C9E" w14:textId="543411A8" w:rsidR="00760C18" w:rsidRPr="0063428B" w:rsidRDefault="001162E2" w:rsidP="00C54D4F">
      <w:pPr>
        <w:pStyle w:val="ListParagraph"/>
        <w:numPr>
          <w:ilvl w:val="0"/>
          <w:numId w:val="36"/>
        </w:numPr>
        <w:rPr>
          <w:rFonts w:ascii="Times New Roman" w:hAnsi="Times New Roman"/>
          <w:sz w:val="20"/>
          <w:szCs w:val="20"/>
        </w:rPr>
      </w:pPr>
      <w:r w:rsidRPr="0063428B">
        <w:rPr>
          <w:rFonts w:ascii="Times New Roman" w:hAnsi="Times New Roman"/>
          <w:sz w:val="20"/>
          <w:szCs w:val="20"/>
        </w:rPr>
        <w:t xml:space="preserve">Configure the UE to receive a single PDSCH with dynamic pointing and interference suppression via UE CSI feedback. i.e., UE CSI report contains multiple CQI corresponding to different cells, and/or the preferred cell index. Scheduler only picks the best TRP or gNB to transmit the payload. Other </w:t>
      </w:r>
      <w:r w:rsidR="00760C18" w:rsidRPr="0063428B">
        <w:rPr>
          <w:rFonts w:ascii="Times New Roman" w:hAnsi="Times New Roman"/>
          <w:sz w:val="20"/>
          <w:szCs w:val="20"/>
        </w:rPr>
        <w:t xml:space="preserve">TRP or </w:t>
      </w:r>
      <w:r w:rsidRPr="0063428B">
        <w:rPr>
          <w:rFonts w:ascii="Times New Roman" w:hAnsi="Times New Roman"/>
          <w:sz w:val="20"/>
          <w:szCs w:val="20"/>
        </w:rPr>
        <w:t xml:space="preserve">gNB may mute its transmission in order to reduce </w:t>
      </w:r>
      <w:r w:rsidR="00A231D9">
        <w:rPr>
          <w:rFonts w:ascii="Times New Roman" w:hAnsi="Times New Roman"/>
          <w:sz w:val="20"/>
          <w:szCs w:val="20"/>
        </w:rPr>
        <w:t xml:space="preserve">the </w:t>
      </w:r>
      <w:r w:rsidRPr="0063428B">
        <w:rPr>
          <w:rFonts w:ascii="Times New Roman" w:hAnsi="Times New Roman"/>
          <w:sz w:val="20"/>
          <w:szCs w:val="20"/>
        </w:rPr>
        <w:t>in</w:t>
      </w:r>
      <w:r w:rsidR="000B2185">
        <w:rPr>
          <w:rFonts w:ascii="Times New Roman" w:hAnsi="Times New Roman"/>
          <w:sz w:val="20"/>
          <w:szCs w:val="20"/>
        </w:rPr>
        <w:t>ter</w:t>
      </w:r>
      <w:r w:rsidRPr="0063428B">
        <w:rPr>
          <w:rFonts w:ascii="Times New Roman" w:hAnsi="Times New Roman"/>
          <w:sz w:val="20"/>
          <w:szCs w:val="20"/>
        </w:rPr>
        <w:t>ference</w:t>
      </w:r>
      <w:r w:rsidR="00760C18" w:rsidRPr="0063428B">
        <w:rPr>
          <w:rFonts w:ascii="Times New Roman" w:hAnsi="Times New Roman"/>
          <w:sz w:val="20"/>
          <w:szCs w:val="20"/>
        </w:rPr>
        <w:t>. The concept is illustrated in Figure 4.</w:t>
      </w:r>
    </w:p>
    <w:p w14:paraId="2B5E38CC" w14:textId="77777777" w:rsidR="00365D64" w:rsidRPr="0063428B" w:rsidRDefault="00365D64" w:rsidP="00365D64">
      <w:pPr>
        <w:pStyle w:val="ListParagraph"/>
        <w:rPr>
          <w:rFonts w:ascii="Times New Roman" w:hAnsi="Times New Roman"/>
          <w:sz w:val="20"/>
          <w:szCs w:val="20"/>
        </w:rPr>
      </w:pPr>
    </w:p>
    <w:p w14:paraId="33B5D0D9" w14:textId="77777777" w:rsidR="00365D64" w:rsidRPr="0063428B" w:rsidRDefault="00365D64" w:rsidP="00365D64">
      <w:pPr>
        <w:pStyle w:val="ListParagraph"/>
        <w:keepNext/>
        <w:jc w:val="center"/>
        <w:rPr>
          <w:rFonts w:ascii="Times New Roman" w:hAnsi="Times New Roman"/>
        </w:rPr>
      </w:pPr>
      <w:r w:rsidRPr="0063428B">
        <w:rPr>
          <w:rFonts w:ascii="Times New Roman" w:hAnsi="Times New Roman"/>
          <w:noProof/>
          <w:sz w:val="20"/>
          <w:szCs w:val="20"/>
        </w:rPr>
        <w:drawing>
          <wp:inline distT="0" distB="0" distL="0" distR="0" wp14:anchorId="5C9AE9DD" wp14:editId="0D035616">
            <wp:extent cx="4716324" cy="1241344"/>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27590" cy="1244309"/>
                    </a:xfrm>
                    <a:prstGeom prst="rect">
                      <a:avLst/>
                    </a:prstGeom>
                  </pic:spPr>
                </pic:pic>
              </a:graphicData>
            </a:graphic>
          </wp:inline>
        </w:drawing>
      </w:r>
    </w:p>
    <w:p w14:paraId="4CE3B8B6" w14:textId="18FC0424"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4</w:t>
      </w:r>
      <w:r w:rsidRPr="0063428B">
        <w:rPr>
          <w:sz w:val="20"/>
        </w:rPr>
        <w:fldChar w:fldCharType="end"/>
      </w:r>
      <w:r w:rsidRPr="0063428B">
        <w:rPr>
          <w:sz w:val="20"/>
        </w:rPr>
        <w:t xml:space="preserve"> Dynamic point selection enhancement</w:t>
      </w:r>
    </w:p>
    <w:p w14:paraId="5834EB48" w14:textId="77777777" w:rsidR="00365D64" w:rsidRPr="0063428B" w:rsidRDefault="00365D64" w:rsidP="00365D64">
      <w:pPr>
        <w:pStyle w:val="ListParagraph"/>
        <w:jc w:val="center"/>
        <w:rPr>
          <w:rFonts w:ascii="Times New Roman" w:hAnsi="Times New Roman"/>
          <w:sz w:val="20"/>
          <w:szCs w:val="20"/>
        </w:rPr>
      </w:pPr>
    </w:p>
    <w:p w14:paraId="3860E058" w14:textId="51E44BFC" w:rsidR="00C54D4F" w:rsidRPr="0063428B" w:rsidRDefault="00760C18" w:rsidP="00760C18">
      <w:pPr>
        <w:pStyle w:val="ListParagraph"/>
        <w:numPr>
          <w:ilvl w:val="0"/>
          <w:numId w:val="36"/>
        </w:numPr>
        <w:rPr>
          <w:rFonts w:ascii="Times New Roman" w:hAnsi="Times New Roman"/>
          <w:sz w:val="20"/>
          <w:szCs w:val="20"/>
        </w:rPr>
      </w:pPr>
      <w:r w:rsidRPr="0063428B">
        <w:rPr>
          <w:rFonts w:ascii="Times New Roman" w:hAnsi="Times New Roman"/>
          <w:sz w:val="20"/>
          <w:szCs w:val="20"/>
        </w:rPr>
        <w:t>Joint precoding from multiple TRP/gNB. When ideal backhaul is available, it is possible to treat multiple TRP/gNB as remote physical antenna</w:t>
      </w:r>
      <w:r w:rsidR="00C53544">
        <w:rPr>
          <w:rFonts w:ascii="Times New Roman" w:hAnsi="Times New Roman"/>
          <w:sz w:val="20"/>
          <w:szCs w:val="20"/>
        </w:rPr>
        <w:t>s</w:t>
      </w:r>
      <w:r w:rsidRPr="0063428B">
        <w:rPr>
          <w:rFonts w:ascii="Times New Roman" w:hAnsi="Times New Roman"/>
          <w:sz w:val="20"/>
          <w:szCs w:val="20"/>
        </w:rPr>
        <w:t xml:space="preserve"> and apply advanced MIMO processing to jointly precode the packet transmission over all the antennas. Even when backhaul is not ideal, </w:t>
      </w:r>
      <w:r w:rsidR="00C54D4F" w:rsidRPr="0063428B">
        <w:rPr>
          <w:rFonts w:ascii="Times New Roman" w:hAnsi="Times New Roman"/>
          <w:sz w:val="20"/>
          <w:szCs w:val="20"/>
        </w:rPr>
        <w:t xml:space="preserve">different gNB </w:t>
      </w:r>
      <w:r w:rsidRPr="0063428B">
        <w:rPr>
          <w:rFonts w:ascii="Times New Roman" w:hAnsi="Times New Roman"/>
          <w:sz w:val="20"/>
          <w:szCs w:val="20"/>
        </w:rPr>
        <w:t xml:space="preserve">can </w:t>
      </w:r>
      <w:r w:rsidR="00C54D4F" w:rsidRPr="0063428B">
        <w:rPr>
          <w:rFonts w:ascii="Times New Roman" w:hAnsi="Times New Roman"/>
          <w:sz w:val="20"/>
          <w:szCs w:val="20"/>
        </w:rPr>
        <w:t>occup</w:t>
      </w:r>
      <w:r w:rsidRPr="0063428B">
        <w:rPr>
          <w:rFonts w:ascii="Times New Roman" w:hAnsi="Times New Roman"/>
          <w:sz w:val="20"/>
          <w:szCs w:val="20"/>
        </w:rPr>
        <w:t>y</w:t>
      </w:r>
      <w:r w:rsidR="00C54D4F" w:rsidRPr="0063428B">
        <w:rPr>
          <w:rFonts w:ascii="Times New Roman" w:hAnsi="Times New Roman"/>
          <w:sz w:val="20"/>
          <w:szCs w:val="20"/>
        </w:rPr>
        <w:t xml:space="preserve"> different layer or CW</w:t>
      </w:r>
      <w:r w:rsidRPr="0063428B">
        <w:rPr>
          <w:rFonts w:ascii="Times New Roman" w:hAnsi="Times New Roman"/>
          <w:sz w:val="20"/>
          <w:szCs w:val="20"/>
        </w:rPr>
        <w:t xml:space="preserve">. The participation of layer or CW can be indicated </w:t>
      </w:r>
      <w:r w:rsidR="00C54D4F" w:rsidRPr="0063428B">
        <w:rPr>
          <w:rFonts w:ascii="Times New Roman" w:hAnsi="Times New Roman"/>
          <w:sz w:val="20"/>
          <w:szCs w:val="20"/>
        </w:rPr>
        <w:t xml:space="preserve">to the UE </w:t>
      </w:r>
      <w:r w:rsidRPr="0063428B">
        <w:rPr>
          <w:rFonts w:ascii="Times New Roman" w:hAnsi="Times New Roman"/>
          <w:sz w:val="20"/>
          <w:szCs w:val="20"/>
        </w:rPr>
        <w:t xml:space="preserve">such </w:t>
      </w:r>
      <w:r w:rsidR="00C54D4F" w:rsidRPr="0063428B">
        <w:rPr>
          <w:rFonts w:ascii="Times New Roman" w:hAnsi="Times New Roman"/>
          <w:sz w:val="20"/>
          <w:szCs w:val="20"/>
        </w:rPr>
        <w:t>that different layers or CW corresponds to the same TB (packet</w:t>
      </w:r>
      <w:r w:rsidRPr="0063428B">
        <w:rPr>
          <w:rFonts w:ascii="Times New Roman" w:hAnsi="Times New Roman"/>
          <w:sz w:val="20"/>
          <w:szCs w:val="20"/>
        </w:rPr>
        <w:t>). The concept is illustrated in Figure 5.</w:t>
      </w:r>
    </w:p>
    <w:p w14:paraId="35B1E48F" w14:textId="3DE47491" w:rsidR="00365D64" w:rsidRPr="0063428B" w:rsidRDefault="00365D64" w:rsidP="00365D64">
      <w:pPr>
        <w:rPr>
          <w:sz w:val="20"/>
          <w:szCs w:val="20"/>
        </w:rPr>
      </w:pPr>
    </w:p>
    <w:p w14:paraId="3A065A04" w14:textId="77777777" w:rsidR="00365D64" w:rsidRPr="0063428B" w:rsidRDefault="00365D64" w:rsidP="00365D64">
      <w:pPr>
        <w:keepNext/>
        <w:jc w:val="center"/>
      </w:pPr>
      <w:r w:rsidRPr="0063428B">
        <w:rPr>
          <w:noProof/>
          <w:sz w:val="20"/>
          <w:szCs w:val="20"/>
        </w:rPr>
        <w:drawing>
          <wp:inline distT="0" distB="0" distL="0" distR="0" wp14:anchorId="6CABAAED" wp14:editId="10C92F4D">
            <wp:extent cx="4645958" cy="1378990"/>
            <wp:effectExtent l="0" t="0" r="254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75669" cy="1387809"/>
                    </a:xfrm>
                    <a:prstGeom prst="rect">
                      <a:avLst/>
                    </a:prstGeom>
                  </pic:spPr>
                </pic:pic>
              </a:graphicData>
            </a:graphic>
          </wp:inline>
        </w:drawing>
      </w:r>
    </w:p>
    <w:p w14:paraId="0058A497" w14:textId="0C090793" w:rsidR="00365D64" w:rsidRPr="0063428B" w:rsidRDefault="00365D64" w:rsidP="00365D64">
      <w:pPr>
        <w:pStyle w:val="Caption"/>
        <w:rPr>
          <w:sz w:val="15"/>
          <w:szCs w:val="20"/>
        </w:rPr>
      </w:pPr>
      <w:r w:rsidRPr="0063428B">
        <w:rPr>
          <w:sz w:val="20"/>
        </w:rPr>
        <w:t xml:space="preserve">Figure </w:t>
      </w:r>
      <w:r w:rsidRPr="0063428B">
        <w:rPr>
          <w:sz w:val="20"/>
        </w:rPr>
        <w:fldChar w:fldCharType="begin"/>
      </w:r>
      <w:r w:rsidRPr="0063428B">
        <w:rPr>
          <w:sz w:val="20"/>
        </w:rPr>
        <w:instrText xml:space="preserve"> SEQ Figure \* ARABIC </w:instrText>
      </w:r>
      <w:r w:rsidRPr="0063428B">
        <w:rPr>
          <w:sz w:val="20"/>
        </w:rPr>
        <w:fldChar w:fldCharType="separate"/>
      </w:r>
      <w:r w:rsidR="0024468C">
        <w:rPr>
          <w:noProof/>
          <w:sz w:val="20"/>
        </w:rPr>
        <w:t>5</w:t>
      </w:r>
      <w:r w:rsidRPr="0063428B">
        <w:rPr>
          <w:sz w:val="20"/>
        </w:rPr>
        <w:fldChar w:fldCharType="end"/>
      </w:r>
      <w:r w:rsidRPr="0063428B">
        <w:rPr>
          <w:sz w:val="20"/>
        </w:rPr>
        <w:t>: Single PDSCH Enhancement</w:t>
      </w:r>
    </w:p>
    <w:p w14:paraId="183F9D44" w14:textId="6C882D7A" w:rsidR="00760C18" w:rsidRPr="0063428B" w:rsidRDefault="00760C18" w:rsidP="00365D64">
      <w:pPr>
        <w:pStyle w:val="ListParagraph"/>
        <w:rPr>
          <w:rFonts w:ascii="Times New Roman" w:hAnsi="Times New Roman"/>
          <w:sz w:val="20"/>
          <w:szCs w:val="20"/>
        </w:rPr>
      </w:pPr>
    </w:p>
    <w:p w14:paraId="29F65569" w14:textId="77777777" w:rsidR="00365D64" w:rsidRPr="0063428B" w:rsidRDefault="00365D64" w:rsidP="00760C18">
      <w:pPr>
        <w:pStyle w:val="ListParagraph"/>
        <w:rPr>
          <w:rFonts w:ascii="Times New Roman" w:hAnsi="Times New Roman"/>
          <w:sz w:val="20"/>
          <w:szCs w:val="20"/>
        </w:rPr>
      </w:pPr>
    </w:p>
    <w:p w14:paraId="0BD62166" w14:textId="3DA3A092" w:rsidR="00CF4207" w:rsidRDefault="00541210" w:rsidP="00541210">
      <w:pPr>
        <w:rPr>
          <w:sz w:val="20"/>
          <w:szCs w:val="20"/>
        </w:rPr>
      </w:pPr>
      <w:r>
        <w:rPr>
          <w:sz w:val="20"/>
          <w:szCs w:val="20"/>
        </w:rPr>
        <w:t xml:space="preserve">For UL, similarly, multiple gNB can receive the UE UL transmission simultaneously. Coordination can be done between </w:t>
      </w:r>
      <w:r w:rsidRPr="00541210">
        <w:rPr>
          <w:sz w:val="20"/>
          <w:szCs w:val="20"/>
        </w:rPr>
        <w:t xml:space="preserve">gNB to </w:t>
      </w:r>
      <w:r>
        <w:rPr>
          <w:sz w:val="20"/>
          <w:szCs w:val="20"/>
        </w:rPr>
        <w:t xml:space="preserve">allow the simultaneous reception of </w:t>
      </w:r>
      <w:r w:rsidRPr="00541210">
        <w:rPr>
          <w:sz w:val="20"/>
          <w:szCs w:val="20"/>
        </w:rPr>
        <w:t>UE UL transmission</w:t>
      </w:r>
      <w:r>
        <w:rPr>
          <w:sz w:val="20"/>
          <w:szCs w:val="20"/>
        </w:rPr>
        <w:t xml:space="preserve">. To do so, </w:t>
      </w:r>
      <w:r w:rsidRPr="00541210">
        <w:rPr>
          <w:sz w:val="20"/>
          <w:szCs w:val="20"/>
        </w:rPr>
        <w:t xml:space="preserve">gNB </w:t>
      </w:r>
      <w:r>
        <w:rPr>
          <w:sz w:val="20"/>
          <w:szCs w:val="20"/>
        </w:rPr>
        <w:t xml:space="preserve">can </w:t>
      </w:r>
      <w:r w:rsidRPr="00541210">
        <w:rPr>
          <w:sz w:val="20"/>
          <w:szCs w:val="20"/>
        </w:rPr>
        <w:t>exchange the UE ID, TA information</w:t>
      </w:r>
      <w:r w:rsidR="00CF4207">
        <w:rPr>
          <w:sz w:val="20"/>
          <w:szCs w:val="20"/>
        </w:rPr>
        <w:t xml:space="preserve">, etc. </w:t>
      </w:r>
      <w:r w:rsidRPr="00541210">
        <w:rPr>
          <w:sz w:val="20"/>
          <w:szCs w:val="20"/>
        </w:rPr>
        <w:t xml:space="preserve">over the </w:t>
      </w:r>
      <w:r w:rsidR="00AC1F9B">
        <w:rPr>
          <w:sz w:val="20"/>
          <w:szCs w:val="20"/>
        </w:rPr>
        <w:t>X</w:t>
      </w:r>
      <w:r w:rsidRPr="00541210">
        <w:rPr>
          <w:sz w:val="20"/>
          <w:szCs w:val="20"/>
        </w:rPr>
        <w:t>2 interference</w:t>
      </w:r>
      <w:r w:rsidR="00CF4207">
        <w:rPr>
          <w:sz w:val="20"/>
          <w:szCs w:val="20"/>
        </w:rPr>
        <w:t xml:space="preserve">. At the same time, </w:t>
      </w:r>
      <w:r w:rsidRPr="00541210">
        <w:rPr>
          <w:sz w:val="20"/>
          <w:szCs w:val="20"/>
        </w:rPr>
        <w:t xml:space="preserve">gNB </w:t>
      </w:r>
      <w:r w:rsidR="00CF4207">
        <w:rPr>
          <w:sz w:val="20"/>
          <w:szCs w:val="20"/>
        </w:rPr>
        <w:t xml:space="preserve">can also </w:t>
      </w:r>
      <w:r w:rsidRPr="00541210">
        <w:rPr>
          <w:sz w:val="20"/>
          <w:szCs w:val="20"/>
        </w:rPr>
        <w:t>exchange the packet decoding information</w:t>
      </w:r>
      <w:r w:rsidR="00CF4207">
        <w:rPr>
          <w:sz w:val="20"/>
          <w:szCs w:val="20"/>
        </w:rPr>
        <w:t xml:space="preserve">. </w:t>
      </w:r>
      <w:r w:rsidRPr="00541210">
        <w:rPr>
          <w:sz w:val="20"/>
          <w:szCs w:val="20"/>
        </w:rPr>
        <w:t xml:space="preserve">UE </w:t>
      </w:r>
      <w:r w:rsidR="00CF4207">
        <w:rPr>
          <w:sz w:val="20"/>
          <w:szCs w:val="20"/>
        </w:rPr>
        <w:t xml:space="preserve">can be configured to </w:t>
      </w:r>
      <w:r w:rsidRPr="00541210">
        <w:rPr>
          <w:sz w:val="20"/>
          <w:szCs w:val="20"/>
        </w:rPr>
        <w:t xml:space="preserve">monitor multiple PDCCH </w:t>
      </w:r>
      <w:r w:rsidR="00CF4207">
        <w:rPr>
          <w:sz w:val="20"/>
          <w:szCs w:val="20"/>
        </w:rPr>
        <w:t>for the HARQ operation.</w:t>
      </w:r>
    </w:p>
    <w:p w14:paraId="5E25AE74" w14:textId="77777777" w:rsidR="008C2328" w:rsidRDefault="008C2328" w:rsidP="00BC674A">
      <w:pPr>
        <w:rPr>
          <w:sz w:val="20"/>
          <w:szCs w:val="20"/>
        </w:rPr>
      </w:pPr>
    </w:p>
    <w:p w14:paraId="535F25E0" w14:textId="70C20252" w:rsidR="003B4E29" w:rsidRDefault="00C53544" w:rsidP="00C53544">
      <w:pPr>
        <w:rPr>
          <w:b/>
          <w:i/>
          <w:sz w:val="20"/>
          <w:szCs w:val="20"/>
        </w:rPr>
      </w:pPr>
      <w:r w:rsidRPr="00430170">
        <w:rPr>
          <w:rFonts w:eastAsia="SimSun"/>
          <w:b/>
          <w:bCs/>
          <w:i/>
          <w:sz w:val="20"/>
          <w:szCs w:val="20"/>
          <w:u w:val="single"/>
        </w:rPr>
        <w:t xml:space="preserve">Proposal </w:t>
      </w:r>
      <w:r w:rsidR="005A0B47">
        <w:rPr>
          <w:rFonts w:eastAsia="SimSun"/>
          <w:b/>
          <w:bCs/>
          <w:i/>
          <w:sz w:val="20"/>
          <w:szCs w:val="20"/>
          <w:u w:val="single"/>
        </w:rPr>
        <w:t>2</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 xml:space="preserve">support </w:t>
      </w:r>
      <w:r w:rsidR="002C5BF4">
        <w:rPr>
          <w:b/>
          <w:i/>
          <w:sz w:val="20"/>
          <w:szCs w:val="20"/>
        </w:rPr>
        <w:t>enhancement of Multi TRP/gNB reception and/or transmission in order to improve cell edge UE URLLC performance.</w:t>
      </w:r>
    </w:p>
    <w:p w14:paraId="4BAA9DB4" w14:textId="77777777" w:rsidR="003C5043" w:rsidRDefault="003B4E29" w:rsidP="003B4E29">
      <w:pPr>
        <w:pStyle w:val="Heading1"/>
      </w:pPr>
      <w:r>
        <w:t xml:space="preserve">Enhancement </w:t>
      </w:r>
      <w:r w:rsidR="003C5043">
        <w:t>to the Beam Management</w:t>
      </w:r>
    </w:p>
    <w:p w14:paraId="28800FA0" w14:textId="2CD88614" w:rsidR="009636F7" w:rsidRDefault="009636F7" w:rsidP="007970A2">
      <w:pPr>
        <w:rPr>
          <w:sz w:val="20"/>
          <w:szCs w:val="20"/>
        </w:rPr>
      </w:pPr>
      <w:r>
        <w:rPr>
          <w:sz w:val="20"/>
          <w:szCs w:val="20"/>
        </w:rPr>
        <w:t xml:space="preserve">NR is also designed to support FR2 (mmWave) frequency band with unique beam management design. One question </w:t>
      </w:r>
      <w:r w:rsidR="004868F9">
        <w:rPr>
          <w:sz w:val="20"/>
          <w:szCs w:val="20"/>
        </w:rPr>
        <w:t>for</w:t>
      </w:r>
      <w:r>
        <w:rPr>
          <w:sz w:val="20"/>
          <w:szCs w:val="20"/>
        </w:rPr>
        <w:t xml:space="preserve"> the cell-edge user is that cell edge UE may prefer distinctively different set of beams in order to communicat</w:t>
      </w:r>
      <w:r w:rsidR="007970A2">
        <w:rPr>
          <w:sz w:val="20"/>
          <w:szCs w:val="20"/>
        </w:rPr>
        <w:t>e</w:t>
      </w:r>
      <w:r>
        <w:rPr>
          <w:sz w:val="20"/>
          <w:szCs w:val="20"/>
        </w:rPr>
        <w:t xml:space="preserve"> to different TRP or gNB as illustrated in Figure 6.</w:t>
      </w:r>
      <w:r w:rsidR="007970A2">
        <w:rPr>
          <w:sz w:val="20"/>
          <w:szCs w:val="20"/>
        </w:rPr>
        <w:t xml:space="preserve"> Therefore, in order to enhance the b</w:t>
      </w:r>
      <w:r w:rsidR="007970A2" w:rsidRPr="007970A2">
        <w:rPr>
          <w:sz w:val="20"/>
          <w:szCs w:val="20"/>
        </w:rPr>
        <w:t>eam management for cell</w:t>
      </w:r>
      <w:r w:rsidR="007970A2">
        <w:rPr>
          <w:sz w:val="20"/>
          <w:szCs w:val="20"/>
        </w:rPr>
        <w:t xml:space="preserve"> </w:t>
      </w:r>
      <w:r w:rsidR="007970A2" w:rsidRPr="007970A2">
        <w:rPr>
          <w:sz w:val="20"/>
          <w:szCs w:val="20"/>
        </w:rPr>
        <w:t>edge users</w:t>
      </w:r>
      <w:r w:rsidR="007970A2">
        <w:rPr>
          <w:sz w:val="20"/>
          <w:szCs w:val="20"/>
        </w:rPr>
        <w:t xml:space="preserve">, </w:t>
      </w:r>
      <w:r w:rsidR="007970A2" w:rsidRPr="007970A2">
        <w:rPr>
          <w:sz w:val="20"/>
          <w:szCs w:val="20"/>
        </w:rPr>
        <w:t xml:space="preserve">UE can be configured </w:t>
      </w:r>
      <w:r w:rsidR="007970A2">
        <w:rPr>
          <w:sz w:val="20"/>
          <w:szCs w:val="20"/>
        </w:rPr>
        <w:t xml:space="preserve">with </w:t>
      </w:r>
      <w:r w:rsidR="007970A2" w:rsidRPr="007970A2">
        <w:rPr>
          <w:sz w:val="20"/>
          <w:szCs w:val="20"/>
        </w:rPr>
        <w:t>multiple TCI table</w:t>
      </w:r>
      <w:r w:rsidR="00DA3ADC">
        <w:rPr>
          <w:sz w:val="20"/>
          <w:szCs w:val="20"/>
        </w:rPr>
        <w:t>s</w:t>
      </w:r>
      <w:r w:rsidR="007970A2">
        <w:rPr>
          <w:sz w:val="20"/>
          <w:szCs w:val="20"/>
        </w:rPr>
        <w:t xml:space="preserve"> with each TCI table</w:t>
      </w:r>
      <w:r w:rsidR="007970A2" w:rsidRPr="007970A2">
        <w:rPr>
          <w:sz w:val="20"/>
          <w:szCs w:val="20"/>
        </w:rPr>
        <w:t xml:space="preserve"> correspond</w:t>
      </w:r>
      <w:r w:rsidR="007970A2">
        <w:rPr>
          <w:sz w:val="20"/>
          <w:szCs w:val="20"/>
        </w:rPr>
        <w:t xml:space="preserve">s to a different </w:t>
      </w:r>
      <w:r w:rsidR="007970A2" w:rsidRPr="007970A2">
        <w:rPr>
          <w:sz w:val="20"/>
          <w:szCs w:val="20"/>
        </w:rPr>
        <w:t>gNB</w:t>
      </w:r>
      <w:r w:rsidR="00DA3ADC">
        <w:rPr>
          <w:sz w:val="20"/>
          <w:szCs w:val="20"/>
        </w:rPr>
        <w:t>.</w:t>
      </w:r>
      <w:r w:rsidR="007970A2">
        <w:rPr>
          <w:sz w:val="20"/>
          <w:szCs w:val="20"/>
        </w:rPr>
        <w:t xml:space="preserve"> </w:t>
      </w:r>
      <w:r w:rsidR="007970A2" w:rsidRPr="007970A2">
        <w:rPr>
          <w:sz w:val="20"/>
          <w:szCs w:val="20"/>
        </w:rPr>
        <w:t xml:space="preserve">DCI scheduling </w:t>
      </w:r>
      <w:r w:rsidR="007970A2">
        <w:rPr>
          <w:sz w:val="20"/>
          <w:szCs w:val="20"/>
        </w:rPr>
        <w:t xml:space="preserve">can </w:t>
      </w:r>
      <w:r w:rsidR="007970A2" w:rsidRPr="007970A2">
        <w:rPr>
          <w:sz w:val="20"/>
          <w:szCs w:val="20"/>
        </w:rPr>
        <w:t>use the corresponding TCI table i</w:t>
      </w:r>
      <w:r w:rsidR="007970A2">
        <w:rPr>
          <w:sz w:val="20"/>
          <w:szCs w:val="20"/>
        </w:rPr>
        <w:t>f</w:t>
      </w:r>
      <w:r w:rsidR="007970A2" w:rsidRPr="007970A2">
        <w:rPr>
          <w:sz w:val="20"/>
          <w:szCs w:val="20"/>
        </w:rPr>
        <w:t xml:space="preserve"> multiple DCI is supported</w:t>
      </w:r>
      <w:r w:rsidR="007970A2">
        <w:rPr>
          <w:sz w:val="20"/>
          <w:szCs w:val="20"/>
        </w:rPr>
        <w:t xml:space="preserve">. Otherwise, </w:t>
      </w:r>
      <w:r w:rsidR="007970A2" w:rsidRPr="007970A2">
        <w:rPr>
          <w:sz w:val="20"/>
          <w:szCs w:val="20"/>
        </w:rPr>
        <w:t xml:space="preserve">DCI scheduling </w:t>
      </w:r>
      <w:r w:rsidR="007970A2">
        <w:rPr>
          <w:sz w:val="20"/>
          <w:szCs w:val="20"/>
        </w:rPr>
        <w:t xml:space="preserve">can </w:t>
      </w:r>
      <w:r w:rsidR="007970A2" w:rsidRPr="007970A2">
        <w:rPr>
          <w:sz w:val="20"/>
          <w:szCs w:val="20"/>
        </w:rPr>
        <w:t>include the table index i</w:t>
      </w:r>
      <w:r w:rsidR="007970A2">
        <w:rPr>
          <w:sz w:val="20"/>
          <w:szCs w:val="20"/>
        </w:rPr>
        <w:t>f</w:t>
      </w:r>
      <w:r w:rsidR="007970A2" w:rsidRPr="007970A2">
        <w:rPr>
          <w:sz w:val="20"/>
          <w:szCs w:val="20"/>
        </w:rPr>
        <w:t xml:space="preserve"> single DCI is supported</w:t>
      </w:r>
    </w:p>
    <w:p w14:paraId="2E9C7E53" w14:textId="1A00357B" w:rsidR="003B4E29" w:rsidRDefault="003B4E29" w:rsidP="00C53544">
      <w:pPr>
        <w:rPr>
          <w:b/>
          <w:i/>
          <w:sz w:val="20"/>
          <w:szCs w:val="20"/>
        </w:rPr>
      </w:pPr>
    </w:p>
    <w:p w14:paraId="2EBACCAA" w14:textId="77777777" w:rsidR="0024468C" w:rsidRDefault="0024468C" w:rsidP="0024468C">
      <w:pPr>
        <w:keepNext/>
        <w:jc w:val="center"/>
      </w:pPr>
      <w:r w:rsidRPr="0024468C">
        <w:rPr>
          <w:b/>
          <w:i/>
          <w:noProof/>
          <w:sz w:val="20"/>
          <w:szCs w:val="20"/>
        </w:rPr>
        <w:drawing>
          <wp:inline distT="0" distB="0" distL="0" distR="0" wp14:anchorId="2F2E3CC2" wp14:editId="0CA47642">
            <wp:extent cx="5097294" cy="1356951"/>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4123" cy="1366755"/>
                    </a:xfrm>
                    <a:prstGeom prst="rect">
                      <a:avLst/>
                    </a:prstGeom>
                  </pic:spPr>
                </pic:pic>
              </a:graphicData>
            </a:graphic>
          </wp:inline>
        </w:drawing>
      </w:r>
    </w:p>
    <w:p w14:paraId="15107FB6" w14:textId="0C67F0EC" w:rsidR="0024468C" w:rsidRDefault="0024468C" w:rsidP="0024468C">
      <w:pPr>
        <w:pStyle w:val="Caption"/>
        <w:rPr>
          <w:sz w:val="20"/>
        </w:rPr>
      </w:pPr>
      <w:r w:rsidRPr="0024468C">
        <w:rPr>
          <w:sz w:val="20"/>
        </w:rPr>
        <w:t xml:space="preserve">Figure </w:t>
      </w:r>
      <w:r w:rsidRPr="0024468C">
        <w:rPr>
          <w:sz w:val="20"/>
        </w:rPr>
        <w:fldChar w:fldCharType="begin"/>
      </w:r>
      <w:r w:rsidRPr="0024468C">
        <w:rPr>
          <w:sz w:val="20"/>
        </w:rPr>
        <w:instrText xml:space="preserve"> SEQ Figure \* ARABIC </w:instrText>
      </w:r>
      <w:r w:rsidRPr="0024468C">
        <w:rPr>
          <w:sz w:val="20"/>
        </w:rPr>
        <w:fldChar w:fldCharType="separate"/>
      </w:r>
      <w:r w:rsidRPr="0024468C">
        <w:rPr>
          <w:noProof/>
          <w:sz w:val="20"/>
        </w:rPr>
        <w:t>6</w:t>
      </w:r>
      <w:r w:rsidRPr="0024468C">
        <w:rPr>
          <w:sz w:val="20"/>
        </w:rPr>
        <w:fldChar w:fldCharType="end"/>
      </w:r>
      <w:r w:rsidRPr="0024468C">
        <w:rPr>
          <w:sz w:val="20"/>
        </w:rPr>
        <w:t xml:space="preserve"> URLLC Beam Management Enhancement</w:t>
      </w:r>
    </w:p>
    <w:p w14:paraId="195C4E08" w14:textId="237257C8" w:rsidR="009636F7" w:rsidRPr="009636F7" w:rsidRDefault="009636F7" w:rsidP="009636F7">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w:t>
      </w:r>
      <w:r>
        <w:rPr>
          <w:b/>
          <w:i/>
          <w:sz w:val="20"/>
          <w:szCs w:val="20"/>
        </w:rPr>
        <w:t xml:space="preserve"> beam management</w:t>
      </w:r>
      <w:r w:rsidRPr="00D22921">
        <w:rPr>
          <w:b/>
          <w:i/>
          <w:sz w:val="20"/>
          <w:szCs w:val="20"/>
        </w:rPr>
        <w:t xml:space="preserve"> </w:t>
      </w:r>
      <w:r>
        <w:rPr>
          <w:b/>
          <w:i/>
          <w:sz w:val="20"/>
          <w:szCs w:val="20"/>
        </w:rPr>
        <w:t>enhancement for Multi Panel/TRP/gNB reception and/or transmission in order to improve cell edge UE URLLC performance.</w:t>
      </w:r>
    </w:p>
    <w:p w14:paraId="2896E657" w14:textId="77777777" w:rsidR="00854A60" w:rsidRDefault="009C5A97" w:rsidP="00FB330B">
      <w:pPr>
        <w:pStyle w:val="Heading1"/>
      </w:pPr>
      <w:r w:rsidRPr="00FB330B">
        <w:t>Conclusion</w:t>
      </w:r>
      <w:r w:rsidR="004424BC" w:rsidRPr="00FB330B">
        <w:t>s</w:t>
      </w:r>
    </w:p>
    <w:p w14:paraId="36734F9A" w14:textId="4C2BD3E5" w:rsidR="00B929A6" w:rsidRPr="0012647B" w:rsidRDefault="00E47DAC" w:rsidP="00816765">
      <w:pPr>
        <w:jc w:val="both"/>
        <w:rPr>
          <w:sz w:val="20"/>
          <w:szCs w:val="20"/>
        </w:rPr>
      </w:pPr>
      <w:r>
        <w:rPr>
          <w:sz w:val="20"/>
          <w:szCs w:val="20"/>
        </w:rPr>
        <w:t>This contribution focuses on the enhancement of URLLC performance for the cell edge UEs. Clearly, it is more</w:t>
      </w:r>
      <w:r w:rsidRPr="00764EEA">
        <w:rPr>
          <w:sz w:val="20"/>
          <w:szCs w:val="20"/>
        </w:rPr>
        <w:t xml:space="preserve"> challenging for the cell edge user to meet </w:t>
      </w:r>
      <w:r>
        <w:rPr>
          <w:sz w:val="20"/>
          <w:szCs w:val="20"/>
        </w:rPr>
        <w:t xml:space="preserve">URLLC QoS requirement due to multiple reasons, including (1) </w:t>
      </w:r>
      <w:r w:rsidRPr="00764EEA">
        <w:rPr>
          <w:sz w:val="20"/>
          <w:szCs w:val="20"/>
        </w:rPr>
        <w:t>Cell edge user is the furthest from the serving cell</w:t>
      </w:r>
      <w:r>
        <w:rPr>
          <w:sz w:val="20"/>
          <w:szCs w:val="20"/>
        </w:rPr>
        <w:t xml:space="preserve">, hence more prone to be noise limited. (2) </w:t>
      </w:r>
      <w:r w:rsidRPr="00764EEA">
        <w:rPr>
          <w:sz w:val="20"/>
          <w:szCs w:val="20"/>
        </w:rPr>
        <w:t>Cell edge user also experiences strong interference from the neighboring cells</w:t>
      </w:r>
      <w:r>
        <w:rPr>
          <w:sz w:val="20"/>
          <w:szCs w:val="20"/>
        </w:rPr>
        <w:t>. To enhancement the cell edge user performance, w</w:t>
      </w:r>
      <w:r w:rsidRPr="00764EEA">
        <w:rPr>
          <w:sz w:val="20"/>
          <w:szCs w:val="20"/>
        </w:rPr>
        <w:t>e propose a few mechanisms that can be used to improve the URLLC reliability</w:t>
      </w:r>
      <w:r>
        <w:rPr>
          <w:sz w:val="20"/>
          <w:szCs w:val="20"/>
        </w:rPr>
        <w:t>.</w:t>
      </w:r>
      <w:r w:rsidR="00816765">
        <w:rPr>
          <w:sz w:val="20"/>
          <w:szCs w:val="20"/>
        </w:rPr>
        <w:t xml:space="preserve"> </w:t>
      </w:r>
      <w:r w:rsidR="001711C4">
        <w:rPr>
          <w:sz w:val="20"/>
          <w:szCs w:val="20"/>
        </w:rPr>
        <w:t>We have the following proposals</w:t>
      </w:r>
    </w:p>
    <w:p w14:paraId="64EDB514" w14:textId="77777777" w:rsidR="00B929A6" w:rsidRPr="00B929A6" w:rsidRDefault="00B929A6" w:rsidP="00B929A6"/>
    <w:p w14:paraId="074A93CD" w14:textId="77777777" w:rsidR="00AC1F9B" w:rsidRDefault="00AC1F9B" w:rsidP="00AC1F9B">
      <w:pPr>
        <w:rPr>
          <w:b/>
          <w:i/>
          <w:sz w:val="20"/>
          <w:szCs w:val="20"/>
        </w:rPr>
      </w:pPr>
      <w:r w:rsidRPr="00430170">
        <w:rPr>
          <w:rFonts w:eastAsia="SimSun"/>
          <w:b/>
          <w:bCs/>
          <w:i/>
          <w:sz w:val="20"/>
          <w:szCs w:val="20"/>
          <w:u w:val="single"/>
        </w:rPr>
        <w:t xml:space="preserve">Proposal </w:t>
      </w:r>
      <w:r>
        <w:rPr>
          <w:rFonts w:eastAsia="SimSun"/>
          <w:b/>
          <w:bCs/>
          <w:i/>
          <w:sz w:val="20"/>
          <w:szCs w:val="20"/>
          <w:u w:val="single"/>
        </w:rPr>
        <w:t>1</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 mobility</w:t>
      </w:r>
      <w:r>
        <w:rPr>
          <w:b/>
          <w:i/>
          <w:sz w:val="20"/>
          <w:szCs w:val="20"/>
        </w:rPr>
        <w:t xml:space="preserve"> enhancement by</w:t>
      </w:r>
      <w:r w:rsidRPr="00D22921">
        <w:rPr>
          <w:b/>
          <w:i/>
          <w:sz w:val="20"/>
          <w:szCs w:val="20"/>
        </w:rPr>
        <w:t xml:space="preserve"> allow</w:t>
      </w:r>
      <w:r>
        <w:rPr>
          <w:b/>
          <w:i/>
          <w:sz w:val="20"/>
          <w:szCs w:val="20"/>
        </w:rPr>
        <w:t>ing</w:t>
      </w:r>
      <w:r w:rsidRPr="00D22921">
        <w:rPr>
          <w:b/>
          <w:i/>
          <w:sz w:val="20"/>
          <w:szCs w:val="20"/>
        </w:rPr>
        <w:t xml:space="preserve"> the UE </w:t>
      </w:r>
      <w:r>
        <w:rPr>
          <w:b/>
          <w:i/>
          <w:sz w:val="20"/>
          <w:szCs w:val="20"/>
        </w:rPr>
        <w:t xml:space="preserve">to </w:t>
      </w:r>
      <w:r w:rsidRPr="00D22921">
        <w:rPr>
          <w:b/>
          <w:i/>
          <w:sz w:val="20"/>
          <w:szCs w:val="20"/>
        </w:rPr>
        <w:t>report the appearance the disappearance of the strong interfer</w:t>
      </w:r>
      <w:r>
        <w:rPr>
          <w:b/>
          <w:i/>
          <w:sz w:val="20"/>
          <w:szCs w:val="20"/>
        </w:rPr>
        <w:t>ing</w:t>
      </w:r>
      <w:r w:rsidRPr="00D22921">
        <w:rPr>
          <w:b/>
          <w:i/>
          <w:sz w:val="20"/>
          <w:szCs w:val="20"/>
        </w:rPr>
        <w:t xml:space="preserve"> cell</w:t>
      </w:r>
      <w:r>
        <w:rPr>
          <w:b/>
          <w:i/>
          <w:sz w:val="20"/>
          <w:szCs w:val="20"/>
        </w:rPr>
        <w:t>s</w:t>
      </w:r>
      <w:r w:rsidRPr="00D22921">
        <w:rPr>
          <w:b/>
          <w:i/>
          <w:sz w:val="20"/>
          <w:szCs w:val="20"/>
        </w:rPr>
        <w:t xml:space="preserve"> to the NW</w:t>
      </w:r>
      <w:r>
        <w:rPr>
          <w:b/>
          <w:i/>
          <w:sz w:val="20"/>
          <w:szCs w:val="20"/>
        </w:rPr>
        <w:t>.</w:t>
      </w:r>
    </w:p>
    <w:p w14:paraId="000684B0" w14:textId="312EB958" w:rsidR="0037653C" w:rsidRDefault="0037653C" w:rsidP="0005407B">
      <w:pPr>
        <w:jc w:val="both"/>
        <w:rPr>
          <w:b/>
          <w:sz w:val="20"/>
          <w:szCs w:val="20"/>
        </w:rPr>
      </w:pPr>
    </w:p>
    <w:p w14:paraId="70084D3C" w14:textId="77777777" w:rsidR="00AC1F9B" w:rsidRDefault="00AC1F9B" w:rsidP="00AC1F9B">
      <w:pPr>
        <w:rPr>
          <w:b/>
          <w:i/>
          <w:sz w:val="20"/>
          <w:szCs w:val="20"/>
        </w:rPr>
      </w:pPr>
      <w:r w:rsidRPr="00430170">
        <w:rPr>
          <w:rFonts w:eastAsia="SimSun"/>
          <w:b/>
          <w:bCs/>
          <w:i/>
          <w:sz w:val="20"/>
          <w:szCs w:val="20"/>
          <w:u w:val="single"/>
        </w:rPr>
        <w:t xml:space="preserve">Proposal </w:t>
      </w:r>
      <w:r>
        <w:rPr>
          <w:rFonts w:eastAsia="SimSun"/>
          <w:b/>
          <w:bCs/>
          <w:i/>
          <w:sz w:val="20"/>
          <w:szCs w:val="20"/>
          <w:u w:val="single"/>
        </w:rPr>
        <w:t>2</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 xml:space="preserve">support </w:t>
      </w:r>
      <w:r>
        <w:rPr>
          <w:b/>
          <w:i/>
          <w:sz w:val="20"/>
          <w:szCs w:val="20"/>
        </w:rPr>
        <w:t>enhancement of Multi TRP/gNB reception and/or transmission in order to improve cell edge UE URLLC performance.</w:t>
      </w:r>
    </w:p>
    <w:p w14:paraId="35ACC324" w14:textId="77777777" w:rsidR="009636F7" w:rsidRDefault="009636F7" w:rsidP="009636F7">
      <w:pPr>
        <w:rPr>
          <w:b/>
          <w:sz w:val="20"/>
          <w:szCs w:val="20"/>
        </w:rPr>
      </w:pPr>
    </w:p>
    <w:p w14:paraId="688922C8" w14:textId="2EFBE274" w:rsidR="00AC1F9B" w:rsidRPr="00015E19" w:rsidRDefault="009636F7" w:rsidP="00015E19">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w:t>
      </w:r>
      <w:r w:rsidRPr="00D22921">
        <w:rPr>
          <w:b/>
          <w:i/>
          <w:sz w:val="20"/>
          <w:szCs w:val="20"/>
        </w:rPr>
        <w:t xml:space="preserve"> </w:t>
      </w:r>
      <w:r>
        <w:rPr>
          <w:b/>
          <w:i/>
          <w:sz w:val="20"/>
          <w:szCs w:val="20"/>
        </w:rPr>
        <w:t xml:space="preserve">to </w:t>
      </w:r>
      <w:r w:rsidRPr="00D22921">
        <w:rPr>
          <w:b/>
          <w:i/>
          <w:sz w:val="20"/>
          <w:szCs w:val="20"/>
        </w:rPr>
        <w:t>support</w:t>
      </w:r>
      <w:r>
        <w:rPr>
          <w:b/>
          <w:i/>
          <w:sz w:val="20"/>
          <w:szCs w:val="20"/>
        </w:rPr>
        <w:t xml:space="preserve"> beam management</w:t>
      </w:r>
      <w:r w:rsidRPr="00D22921">
        <w:rPr>
          <w:b/>
          <w:i/>
          <w:sz w:val="20"/>
          <w:szCs w:val="20"/>
        </w:rPr>
        <w:t xml:space="preserve"> </w:t>
      </w:r>
      <w:r>
        <w:rPr>
          <w:b/>
          <w:i/>
          <w:sz w:val="20"/>
          <w:szCs w:val="20"/>
        </w:rPr>
        <w:t>enhancement for Multi Panel/TRP/gNB reception and/or transmission in order to improve cell edge UE URLLC performance.</w:t>
      </w:r>
    </w:p>
    <w:p w14:paraId="7716D850" w14:textId="47F291FA" w:rsidR="003E0F30" w:rsidRDefault="005C63AE" w:rsidP="00920B5C">
      <w:pPr>
        <w:pStyle w:val="Heading1"/>
      </w:pPr>
      <w:r>
        <w:t>References</w:t>
      </w:r>
    </w:p>
    <w:p w14:paraId="779F8D52" w14:textId="7861EAC6" w:rsidR="000D7CB6" w:rsidRPr="00FE048F" w:rsidRDefault="000D7CB6" w:rsidP="000D7CB6">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FE048F">
        <w:rPr>
          <w:sz w:val="20"/>
          <w:szCs w:val="20"/>
        </w:rPr>
        <w:t>38.913, “Study on scenarios and requirements for next generation access technologies”, Release 14</w:t>
      </w:r>
    </w:p>
    <w:p w14:paraId="64297446" w14:textId="055EB19D" w:rsidR="003E1453" w:rsidRPr="00262C88" w:rsidRDefault="00FE048F" w:rsidP="00262C8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868BE">
        <w:rPr>
          <w:noProof/>
          <w:sz w:val="20"/>
          <w:szCs w:val="20"/>
        </w:rPr>
        <w:t>R</w:t>
      </w:r>
      <w:r w:rsidRPr="006868BE">
        <w:rPr>
          <w:noProof/>
          <w:sz w:val="20"/>
          <w:szCs w:val="20"/>
          <w:lang w:eastAsia="ja-JP"/>
        </w:rPr>
        <w:t>P</w:t>
      </w:r>
      <w:r w:rsidRPr="006868BE">
        <w:rPr>
          <w:noProof/>
          <w:sz w:val="20"/>
          <w:szCs w:val="20"/>
        </w:rPr>
        <w:t>-182089, “</w:t>
      </w:r>
      <w:r w:rsidRPr="006868BE">
        <w:rPr>
          <w:rFonts w:eastAsia="Batang"/>
          <w:sz w:val="20"/>
          <w:szCs w:val="20"/>
        </w:rPr>
        <w:t>New SID on Physical Layer Enhancements for NR</w:t>
      </w:r>
      <w:r w:rsidRPr="006868BE">
        <w:rPr>
          <w:sz w:val="20"/>
          <w:szCs w:val="20"/>
        </w:rPr>
        <w:t xml:space="preserve"> Ultra-Reliable and Low Latency Communication</w:t>
      </w:r>
      <w:r w:rsidRPr="006868BE">
        <w:rPr>
          <w:rFonts w:eastAsia="Batang"/>
          <w:sz w:val="20"/>
          <w:szCs w:val="20"/>
        </w:rPr>
        <w:t xml:space="preserve"> </w:t>
      </w:r>
      <w:r w:rsidRPr="006868BE">
        <w:rPr>
          <w:sz w:val="20"/>
          <w:szCs w:val="20"/>
        </w:rPr>
        <w:t>(</w:t>
      </w:r>
      <w:r w:rsidRPr="006868BE">
        <w:rPr>
          <w:rFonts w:eastAsia="Batang"/>
          <w:sz w:val="20"/>
          <w:szCs w:val="20"/>
        </w:rPr>
        <w:t>URLLC</w:t>
      </w:r>
      <w:r w:rsidRPr="006868BE">
        <w:rPr>
          <w:sz w:val="20"/>
          <w:szCs w:val="20"/>
        </w:rPr>
        <w:t xml:space="preserve">)”, </w:t>
      </w:r>
      <w:r w:rsidRPr="006868BE">
        <w:rPr>
          <w:noProof/>
          <w:sz w:val="20"/>
          <w:szCs w:val="20"/>
        </w:rPr>
        <w:t>3GPP TSG-RAN</w:t>
      </w:r>
      <w:r w:rsidRPr="006868BE">
        <w:rPr>
          <w:noProof/>
          <w:sz w:val="20"/>
          <w:szCs w:val="20"/>
          <w:lang w:eastAsia="ja-JP"/>
        </w:rPr>
        <w:t>#8</w:t>
      </w:r>
      <w:r w:rsidRPr="006868BE">
        <w:rPr>
          <w:noProof/>
          <w:sz w:val="20"/>
          <w:szCs w:val="20"/>
        </w:rPr>
        <w:t xml:space="preserve">1, </w:t>
      </w:r>
      <w:r w:rsidRPr="006868BE">
        <w:rPr>
          <w:sz w:val="20"/>
          <w:szCs w:val="20"/>
          <w:lang w:val="en-GB"/>
        </w:rPr>
        <w:t>Gold Coast, Australia, Sept 10 - 13, 2018</w:t>
      </w:r>
    </w:p>
    <w:sectPr w:rsidR="003E1453" w:rsidRPr="00262C8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762FF" w14:textId="77777777" w:rsidR="00D83ACE" w:rsidRDefault="00D83ACE">
      <w:r>
        <w:separator/>
      </w:r>
    </w:p>
  </w:endnote>
  <w:endnote w:type="continuationSeparator" w:id="0">
    <w:p w14:paraId="327BF4FE" w14:textId="77777777" w:rsidR="00D83ACE" w:rsidRDefault="00D83ACE">
      <w:r>
        <w:continuationSeparator/>
      </w:r>
    </w:p>
  </w:endnote>
  <w:endnote w:type="continuationNotice" w:id="1">
    <w:p w14:paraId="3DD6DF4D" w14:textId="77777777" w:rsidR="00D83ACE" w:rsidRDefault="00D83A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B08B5" w14:textId="77777777" w:rsidR="00D83ACE" w:rsidRDefault="00D83ACE">
      <w:r>
        <w:separator/>
      </w:r>
    </w:p>
  </w:footnote>
  <w:footnote w:type="continuationSeparator" w:id="0">
    <w:p w14:paraId="7ED6CE12" w14:textId="77777777" w:rsidR="00D83ACE" w:rsidRDefault="00D83ACE">
      <w:r>
        <w:continuationSeparator/>
      </w:r>
    </w:p>
  </w:footnote>
  <w:footnote w:type="continuationNotice" w:id="1">
    <w:p w14:paraId="2376CDCE" w14:textId="77777777" w:rsidR="00D83ACE" w:rsidRDefault="00D83A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8E5D83"/>
    <w:multiLevelType w:val="hybridMultilevel"/>
    <w:tmpl w:val="49886350"/>
    <w:lvl w:ilvl="0" w:tplc="DC540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455A52"/>
    <w:multiLevelType w:val="hybridMultilevel"/>
    <w:tmpl w:val="17127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477C22"/>
    <w:multiLevelType w:val="hybridMultilevel"/>
    <w:tmpl w:val="5D96A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F06C9A"/>
    <w:multiLevelType w:val="hybridMultilevel"/>
    <w:tmpl w:val="E0D6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5"/>
  </w:num>
  <w:num w:numId="8">
    <w:abstractNumId w:val="12"/>
  </w:num>
  <w:num w:numId="9">
    <w:abstractNumId w:val="23"/>
  </w:num>
  <w:num w:numId="10">
    <w:abstractNumId w:val="14"/>
  </w:num>
  <w:num w:numId="11">
    <w:abstractNumId w:val="13"/>
  </w:num>
  <w:num w:numId="12">
    <w:abstractNumId w:val="27"/>
  </w:num>
  <w:num w:numId="13">
    <w:abstractNumId w:val="10"/>
  </w:num>
  <w:num w:numId="14">
    <w:abstractNumId w:val="1"/>
  </w:num>
  <w:num w:numId="15">
    <w:abstractNumId w:val="5"/>
  </w:num>
  <w:num w:numId="16">
    <w:abstractNumId w:val="31"/>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0"/>
  </w:num>
  <w:num w:numId="23">
    <w:abstractNumId w:val="28"/>
  </w:num>
  <w:num w:numId="24">
    <w:abstractNumId w:val="7"/>
  </w:num>
  <w:num w:numId="25">
    <w:abstractNumId w:val="15"/>
  </w:num>
  <w:num w:numId="26">
    <w:abstractNumId w:val="24"/>
  </w:num>
  <w:num w:numId="27">
    <w:abstractNumId w:val="2"/>
  </w:num>
  <w:num w:numId="28">
    <w:abstractNumId w:val="30"/>
  </w:num>
  <w:num w:numId="29">
    <w:abstractNumId w:val="26"/>
  </w:num>
  <w:num w:numId="30">
    <w:abstractNumId w:val="32"/>
  </w:num>
  <w:num w:numId="31">
    <w:abstractNumId w:val="18"/>
  </w:num>
  <w:num w:numId="32">
    <w:abstractNumId w:val="29"/>
  </w:num>
  <w:num w:numId="33">
    <w:abstractNumId w:val="22"/>
  </w:num>
  <w:num w:numId="34">
    <w:abstractNumId w:val="8"/>
  </w:num>
  <w:num w:numId="35">
    <w:abstractNumId w:val="6"/>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5E19"/>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545"/>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3157"/>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185"/>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9D3"/>
    <w:rsid w:val="00100B06"/>
    <w:rsid w:val="00100D9C"/>
    <w:rsid w:val="00101B2F"/>
    <w:rsid w:val="0010434A"/>
    <w:rsid w:val="001045CC"/>
    <w:rsid w:val="00104D81"/>
    <w:rsid w:val="001062FB"/>
    <w:rsid w:val="001063E6"/>
    <w:rsid w:val="0010678F"/>
    <w:rsid w:val="00106C42"/>
    <w:rsid w:val="00107310"/>
    <w:rsid w:val="001076C5"/>
    <w:rsid w:val="00107864"/>
    <w:rsid w:val="00107EF8"/>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2E2"/>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3D6"/>
    <w:rsid w:val="001405B9"/>
    <w:rsid w:val="00140CDB"/>
    <w:rsid w:val="00140FC4"/>
    <w:rsid w:val="00143DDE"/>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671"/>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1A62"/>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24DB"/>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C7C"/>
    <w:rsid w:val="002335E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68C"/>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C88"/>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8F7"/>
    <w:rsid w:val="00272E60"/>
    <w:rsid w:val="00273278"/>
    <w:rsid w:val="002736B5"/>
    <w:rsid w:val="002737F4"/>
    <w:rsid w:val="00273BED"/>
    <w:rsid w:val="0027544A"/>
    <w:rsid w:val="00275549"/>
    <w:rsid w:val="0027586B"/>
    <w:rsid w:val="00276A67"/>
    <w:rsid w:val="00276B58"/>
    <w:rsid w:val="00276BE3"/>
    <w:rsid w:val="0027777C"/>
    <w:rsid w:val="00280537"/>
    <w:rsid w:val="002805F5"/>
    <w:rsid w:val="00280751"/>
    <w:rsid w:val="002818AE"/>
    <w:rsid w:val="002827AD"/>
    <w:rsid w:val="0028280A"/>
    <w:rsid w:val="00282A55"/>
    <w:rsid w:val="00282B4B"/>
    <w:rsid w:val="00283426"/>
    <w:rsid w:val="00283FA1"/>
    <w:rsid w:val="00284D9D"/>
    <w:rsid w:val="00285265"/>
    <w:rsid w:val="002854D5"/>
    <w:rsid w:val="00285F18"/>
    <w:rsid w:val="00286ACD"/>
    <w:rsid w:val="00286D5A"/>
    <w:rsid w:val="00287838"/>
    <w:rsid w:val="00287886"/>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3EA"/>
    <w:rsid w:val="0029767A"/>
    <w:rsid w:val="0029777D"/>
    <w:rsid w:val="002A055E"/>
    <w:rsid w:val="002A17BC"/>
    <w:rsid w:val="002A187E"/>
    <w:rsid w:val="002A1AE5"/>
    <w:rsid w:val="002A1D4E"/>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3DB8"/>
    <w:rsid w:val="002C41E6"/>
    <w:rsid w:val="002C476C"/>
    <w:rsid w:val="002C50A5"/>
    <w:rsid w:val="002C59CB"/>
    <w:rsid w:val="002C5BF4"/>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4F4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6932"/>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5D64"/>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4E29"/>
    <w:rsid w:val="003B573B"/>
    <w:rsid w:val="003B5A27"/>
    <w:rsid w:val="003B5F50"/>
    <w:rsid w:val="003B70DF"/>
    <w:rsid w:val="003B70E0"/>
    <w:rsid w:val="003B7700"/>
    <w:rsid w:val="003B785E"/>
    <w:rsid w:val="003B7FE5"/>
    <w:rsid w:val="003C0F89"/>
    <w:rsid w:val="003C11C8"/>
    <w:rsid w:val="003C1905"/>
    <w:rsid w:val="003C1E8B"/>
    <w:rsid w:val="003C221A"/>
    <w:rsid w:val="003C2516"/>
    <w:rsid w:val="003C2702"/>
    <w:rsid w:val="003C4112"/>
    <w:rsid w:val="003C4F5D"/>
    <w:rsid w:val="003C5043"/>
    <w:rsid w:val="003C5412"/>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E7973"/>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E13"/>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C45"/>
    <w:rsid w:val="00424028"/>
    <w:rsid w:val="004241D9"/>
    <w:rsid w:val="004242F4"/>
    <w:rsid w:val="00424C2D"/>
    <w:rsid w:val="0042524E"/>
    <w:rsid w:val="00425743"/>
    <w:rsid w:val="00425750"/>
    <w:rsid w:val="00426C72"/>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C75"/>
    <w:rsid w:val="00474096"/>
    <w:rsid w:val="004744C0"/>
    <w:rsid w:val="0047556B"/>
    <w:rsid w:val="00475860"/>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8F9"/>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CED"/>
    <w:rsid w:val="004A515A"/>
    <w:rsid w:val="004A52A2"/>
    <w:rsid w:val="004A54CD"/>
    <w:rsid w:val="004A6952"/>
    <w:rsid w:val="004A6A29"/>
    <w:rsid w:val="004A6B9D"/>
    <w:rsid w:val="004A6FA3"/>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70A5"/>
    <w:rsid w:val="004B7821"/>
    <w:rsid w:val="004B7BFD"/>
    <w:rsid w:val="004B7C0C"/>
    <w:rsid w:val="004B7CA2"/>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4B37"/>
    <w:rsid w:val="00514CF8"/>
    <w:rsid w:val="00514F6B"/>
    <w:rsid w:val="005150B5"/>
    <w:rsid w:val="005153A7"/>
    <w:rsid w:val="0051595C"/>
    <w:rsid w:val="0051690D"/>
    <w:rsid w:val="00517725"/>
    <w:rsid w:val="005178BC"/>
    <w:rsid w:val="0052017C"/>
    <w:rsid w:val="00520327"/>
    <w:rsid w:val="005207D9"/>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BA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1210"/>
    <w:rsid w:val="00542206"/>
    <w:rsid w:val="0054238A"/>
    <w:rsid w:val="00542897"/>
    <w:rsid w:val="0054302C"/>
    <w:rsid w:val="0054355D"/>
    <w:rsid w:val="00543AF9"/>
    <w:rsid w:val="00545492"/>
    <w:rsid w:val="00545CBE"/>
    <w:rsid w:val="005465AF"/>
    <w:rsid w:val="00546970"/>
    <w:rsid w:val="00546D31"/>
    <w:rsid w:val="00546D5A"/>
    <w:rsid w:val="00547D6C"/>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2A37"/>
    <w:rsid w:val="00592C83"/>
    <w:rsid w:val="0059346F"/>
    <w:rsid w:val="005935A4"/>
    <w:rsid w:val="0059484A"/>
    <w:rsid w:val="005948C2"/>
    <w:rsid w:val="0059525F"/>
    <w:rsid w:val="005955D9"/>
    <w:rsid w:val="00595B60"/>
    <w:rsid w:val="00595DCA"/>
    <w:rsid w:val="00596BF0"/>
    <w:rsid w:val="0059779B"/>
    <w:rsid w:val="005A0A0F"/>
    <w:rsid w:val="005A0B47"/>
    <w:rsid w:val="005A193B"/>
    <w:rsid w:val="005A209A"/>
    <w:rsid w:val="005A2941"/>
    <w:rsid w:val="005A2D3E"/>
    <w:rsid w:val="005A2DB9"/>
    <w:rsid w:val="005A31FB"/>
    <w:rsid w:val="005A3F97"/>
    <w:rsid w:val="005A4EE2"/>
    <w:rsid w:val="005A519F"/>
    <w:rsid w:val="005A53B7"/>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B7C6D"/>
    <w:rsid w:val="005C1E43"/>
    <w:rsid w:val="005C2797"/>
    <w:rsid w:val="005C27ED"/>
    <w:rsid w:val="005C2D16"/>
    <w:rsid w:val="005C2ED9"/>
    <w:rsid w:val="005C31DE"/>
    <w:rsid w:val="005C33E1"/>
    <w:rsid w:val="005C3B24"/>
    <w:rsid w:val="005C4532"/>
    <w:rsid w:val="005C495F"/>
    <w:rsid w:val="005C58D4"/>
    <w:rsid w:val="005C61F6"/>
    <w:rsid w:val="005C63AE"/>
    <w:rsid w:val="005C6D8A"/>
    <w:rsid w:val="005C74FB"/>
    <w:rsid w:val="005D062B"/>
    <w:rsid w:val="005D080A"/>
    <w:rsid w:val="005D0E89"/>
    <w:rsid w:val="005D1602"/>
    <w:rsid w:val="005D1627"/>
    <w:rsid w:val="005D2414"/>
    <w:rsid w:val="005D2963"/>
    <w:rsid w:val="005D304C"/>
    <w:rsid w:val="005D3422"/>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3F9A"/>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3DE7"/>
    <w:rsid w:val="0063428B"/>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4BC1"/>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68BE"/>
    <w:rsid w:val="00686BEA"/>
    <w:rsid w:val="006874FF"/>
    <w:rsid w:val="0068771A"/>
    <w:rsid w:val="00687B52"/>
    <w:rsid w:val="006906F0"/>
    <w:rsid w:val="00690B32"/>
    <w:rsid w:val="00690B3B"/>
    <w:rsid w:val="00691D35"/>
    <w:rsid w:val="00692288"/>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5F7"/>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EAD"/>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4A3F"/>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1D68"/>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6CD"/>
    <w:rsid w:val="00735A69"/>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4B2"/>
    <w:rsid w:val="00760515"/>
    <w:rsid w:val="00760C18"/>
    <w:rsid w:val="007616B3"/>
    <w:rsid w:val="00761953"/>
    <w:rsid w:val="00761E43"/>
    <w:rsid w:val="007630EA"/>
    <w:rsid w:val="00763A6D"/>
    <w:rsid w:val="00764CC5"/>
    <w:rsid w:val="00764EEA"/>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4E1B"/>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0A2"/>
    <w:rsid w:val="00797F56"/>
    <w:rsid w:val="007A1CB3"/>
    <w:rsid w:val="007A2A47"/>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4E4"/>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8E3"/>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A59"/>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765"/>
    <w:rsid w:val="008169C4"/>
    <w:rsid w:val="00817196"/>
    <w:rsid w:val="00817A92"/>
    <w:rsid w:val="008200CE"/>
    <w:rsid w:val="00820A73"/>
    <w:rsid w:val="0082124D"/>
    <w:rsid w:val="00821C47"/>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A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639"/>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5E87"/>
    <w:rsid w:val="00890432"/>
    <w:rsid w:val="00890571"/>
    <w:rsid w:val="00890C55"/>
    <w:rsid w:val="00890EBA"/>
    <w:rsid w:val="0089119A"/>
    <w:rsid w:val="00892215"/>
    <w:rsid w:val="00892B1D"/>
    <w:rsid w:val="00892BB0"/>
    <w:rsid w:val="00893BB0"/>
    <w:rsid w:val="00893EF3"/>
    <w:rsid w:val="00894419"/>
    <w:rsid w:val="00894520"/>
    <w:rsid w:val="00894594"/>
    <w:rsid w:val="0089460D"/>
    <w:rsid w:val="00894A88"/>
    <w:rsid w:val="00894D6D"/>
    <w:rsid w:val="0089529C"/>
    <w:rsid w:val="00895386"/>
    <w:rsid w:val="00895722"/>
    <w:rsid w:val="00895B85"/>
    <w:rsid w:val="008960B7"/>
    <w:rsid w:val="00896A80"/>
    <w:rsid w:val="00897159"/>
    <w:rsid w:val="0089724F"/>
    <w:rsid w:val="008A041D"/>
    <w:rsid w:val="008A1362"/>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0B6"/>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0E8C"/>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6F7"/>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2323"/>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81F"/>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762"/>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1D9"/>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1F9B"/>
    <w:rsid w:val="00AC2A81"/>
    <w:rsid w:val="00AC2ECD"/>
    <w:rsid w:val="00AC3119"/>
    <w:rsid w:val="00AC3D10"/>
    <w:rsid w:val="00AC3FBC"/>
    <w:rsid w:val="00AC49FB"/>
    <w:rsid w:val="00AC4BBF"/>
    <w:rsid w:val="00AC550F"/>
    <w:rsid w:val="00AC5A10"/>
    <w:rsid w:val="00AC675A"/>
    <w:rsid w:val="00AC681E"/>
    <w:rsid w:val="00AC6930"/>
    <w:rsid w:val="00AC6CC7"/>
    <w:rsid w:val="00AC733C"/>
    <w:rsid w:val="00AC7B22"/>
    <w:rsid w:val="00AD00BB"/>
    <w:rsid w:val="00AD0380"/>
    <w:rsid w:val="00AD0AA3"/>
    <w:rsid w:val="00AD122E"/>
    <w:rsid w:val="00AD154D"/>
    <w:rsid w:val="00AD20C4"/>
    <w:rsid w:val="00AD236B"/>
    <w:rsid w:val="00AD2B63"/>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B6F"/>
    <w:rsid w:val="00B23CC2"/>
    <w:rsid w:val="00B2712A"/>
    <w:rsid w:val="00B2763F"/>
    <w:rsid w:val="00B27853"/>
    <w:rsid w:val="00B27AAC"/>
    <w:rsid w:val="00B302FA"/>
    <w:rsid w:val="00B30929"/>
    <w:rsid w:val="00B313B4"/>
    <w:rsid w:val="00B31FE9"/>
    <w:rsid w:val="00B32B61"/>
    <w:rsid w:val="00B32E9F"/>
    <w:rsid w:val="00B338BE"/>
    <w:rsid w:val="00B33EE9"/>
    <w:rsid w:val="00B33F2E"/>
    <w:rsid w:val="00B342C7"/>
    <w:rsid w:val="00B358B5"/>
    <w:rsid w:val="00B3594E"/>
    <w:rsid w:val="00B35A60"/>
    <w:rsid w:val="00B35B96"/>
    <w:rsid w:val="00B35BEB"/>
    <w:rsid w:val="00B361F4"/>
    <w:rsid w:val="00B3720E"/>
    <w:rsid w:val="00B372AA"/>
    <w:rsid w:val="00B37351"/>
    <w:rsid w:val="00B40445"/>
    <w:rsid w:val="00B40474"/>
    <w:rsid w:val="00B40BA1"/>
    <w:rsid w:val="00B40C48"/>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17E0"/>
    <w:rsid w:val="00B626E7"/>
    <w:rsid w:val="00B62AAA"/>
    <w:rsid w:val="00B62B11"/>
    <w:rsid w:val="00B62B58"/>
    <w:rsid w:val="00B62CB5"/>
    <w:rsid w:val="00B6366E"/>
    <w:rsid w:val="00B64259"/>
    <w:rsid w:val="00B6553E"/>
    <w:rsid w:val="00B658B9"/>
    <w:rsid w:val="00B65FB2"/>
    <w:rsid w:val="00B66345"/>
    <w:rsid w:val="00B664C7"/>
    <w:rsid w:val="00B669B8"/>
    <w:rsid w:val="00B70733"/>
    <w:rsid w:val="00B716B4"/>
    <w:rsid w:val="00B73695"/>
    <w:rsid w:val="00B739F6"/>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A0B"/>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0E3C"/>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0FDC"/>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544"/>
    <w:rsid w:val="00C53624"/>
    <w:rsid w:val="00C53871"/>
    <w:rsid w:val="00C5395B"/>
    <w:rsid w:val="00C54995"/>
    <w:rsid w:val="00C54D41"/>
    <w:rsid w:val="00C54D4F"/>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52B6"/>
    <w:rsid w:val="00C75D2F"/>
    <w:rsid w:val="00C767BE"/>
    <w:rsid w:val="00C76963"/>
    <w:rsid w:val="00C76E3C"/>
    <w:rsid w:val="00C76F2F"/>
    <w:rsid w:val="00C770F2"/>
    <w:rsid w:val="00C77181"/>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2076"/>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1CAE"/>
    <w:rsid w:val="00CE24E1"/>
    <w:rsid w:val="00CE2651"/>
    <w:rsid w:val="00CE2852"/>
    <w:rsid w:val="00CE2883"/>
    <w:rsid w:val="00CE2A8A"/>
    <w:rsid w:val="00CE56D0"/>
    <w:rsid w:val="00CE5D4B"/>
    <w:rsid w:val="00CE74E6"/>
    <w:rsid w:val="00CE7561"/>
    <w:rsid w:val="00CE7D63"/>
    <w:rsid w:val="00CF1354"/>
    <w:rsid w:val="00CF1397"/>
    <w:rsid w:val="00CF27E3"/>
    <w:rsid w:val="00CF2EB9"/>
    <w:rsid w:val="00CF3A80"/>
    <w:rsid w:val="00CF3B1F"/>
    <w:rsid w:val="00CF3BF6"/>
    <w:rsid w:val="00CF41DD"/>
    <w:rsid w:val="00CF4207"/>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2921"/>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B56"/>
    <w:rsid w:val="00D27F67"/>
    <w:rsid w:val="00D3005B"/>
    <w:rsid w:val="00D3014D"/>
    <w:rsid w:val="00D309CC"/>
    <w:rsid w:val="00D31995"/>
    <w:rsid w:val="00D31B35"/>
    <w:rsid w:val="00D32518"/>
    <w:rsid w:val="00D346B3"/>
    <w:rsid w:val="00D34C1E"/>
    <w:rsid w:val="00D34C5A"/>
    <w:rsid w:val="00D351A4"/>
    <w:rsid w:val="00D35515"/>
    <w:rsid w:val="00D360DF"/>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189B"/>
    <w:rsid w:val="00D72099"/>
    <w:rsid w:val="00D72C6C"/>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7A0"/>
    <w:rsid w:val="00D83ACE"/>
    <w:rsid w:val="00D86189"/>
    <w:rsid w:val="00D86267"/>
    <w:rsid w:val="00D86B71"/>
    <w:rsid w:val="00D86CA3"/>
    <w:rsid w:val="00D87003"/>
    <w:rsid w:val="00D871CE"/>
    <w:rsid w:val="00D8787A"/>
    <w:rsid w:val="00D878A9"/>
    <w:rsid w:val="00D87C65"/>
    <w:rsid w:val="00D90A50"/>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3ADC"/>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5130"/>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232"/>
    <w:rsid w:val="00E14B94"/>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0AB"/>
    <w:rsid w:val="00E25353"/>
    <w:rsid w:val="00E25AE6"/>
    <w:rsid w:val="00E30B5A"/>
    <w:rsid w:val="00E30D05"/>
    <w:rsid w:val="00E3123D"/>
    <w:rsid w:val="00E31461"/>
    <w:rsid w:val="00E31D43"/>
    <w:rsid w:val="00E32189"/>
    <w:rsid w:val="00E32608"/>
    <w:rsid w:val="00E32773"/>
    <w:rsid w:val="00E33156"/>
    <w:rsid w:val="00E33656"/>
    <w:rsid w:val="00E33CDD"/>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DAC"/>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5C65"/>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AA1"/>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541"/>
    <w:rsid w:val="00EA26A9"/>
    <w:rsid w:val="00EA2D2E"/>
    <w:rsid w:val="00EA4483"/>
    <w:rsid w:val="00EA5AA7"/>
    <w:rsid w:val="00EA6A36"/>
    <w:rsid w:val="00EA7056"/>
    <w:rsid w:val="00EA70B1"/>
    <w:rsid w:val="00EA765A"/>
    <w:rsid w:val="00EA7A41"/>
    <w:rsid w:val="00EA7FB2"/>
    <w:rsid w:val="00EB046F"/>
    <w:rsid w:val="00EB077B"/>
    <w:rsid w:val="00EB09F3"/>
    <w:rsid w:val="00EB345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C47"/>
    <w:rsid w:val="00EC6E4D"/>
    <w:rsid w:val="00EC71CE"/>
    <w:rsid w:val="00EC74EA"/>
    <w:rsid w:val="00ED1006"/>
    <w:rsid w:val="00ED15FF"/>
    <w:rsid w:val="00ED1A2C"/>
    <w:rsid w:val="00ED1AEB"/>
    <w:rsid w:val="00ED1BEE"/>
    <w:rsid w:val="00ED23CC"/>
    <w:rsid w:val="00ED3E2F"/>
    <w:rsid w:val="00ED4917"/>
    <w:rsid w:val="00ED4BF3"/>
    <w:rsid w:val="00ED4C85"/>
    <w:rsid w:val="00ED59F3"/>
    <w:rsid w:val="00ED668D"/>
    <w:rsid w:val="00ED6C4B"/>
    <w:rsid w:val="00ED6DF2"/>
    <w:rsid w:val="00ED74C4"/>
    <w:rsid w:val="00ED7799"/>
    <w:rsid w:val="00ED7E54"/>
    <w:rsid w:val="00EE0CA6"/>
    <w:rsid w:val="00EE0E2C"/>
    <w:rsid w:val="00EE2BB7"/>
    <w:rsid w:val="00EE3AF2"/>
    <w:rsid w:val="00EE420E"/>
    <w:rsid w:val="00EE4C32"/>
    <w:rsid w:val="00EE583F"/>
    <w:rsid w:val="00EE5A1B"/>
    <w:rsid w:val="00EE6A74"/>
    <w:rsid w:val="00EE71DE"/>
    <w:rsid w:val="00EE7417"/>
    <w:rsid w:val="00EE7ACB"/>
    <w:rsid w:val="00EF128D"/>
    <w:rsid w:val="00EF15EF"/>
    <w:rsid w:val="00EF18FE"/>
    <w:rsid w:val="00EF19A7"/>
    <w:rsid w:val="00EF25EC"/>
    <w:rsid w:val="00EF2F9E"/>
    <w:rsid w:val="00EF361E"/>
    <w:rsid w:val="00EF3A90"/>
    <w:rsid w:val="00EF3D94"/>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25B"/>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66C"/>
    <w:rsid w:val="00F868F5"/>
    <w:rsid w:val="00F875D3"/>
    <w:rsid w:val="00F87ECC"/>
    <w:rsid w:val="00F902FD"/>
    <w:rsid w:val="00F90344"/>
    <w:rsid w:val="00F9056A"/>
    <w:rsid w:val="00F90713"/>
    <w:rsid w:val="00F90E77"/>
    <w:rsid w:val="00F90F8D"/>
    <w:rsid w:val="00F9113F"/>
    <w:rsid w:val="00F919B5"/>
    <w:rsid w:val="00F91C4B"/>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48F"/>
    <w:rsid w:val="00FE0655"/>
    <w:rsid w:val="00FE0C3E"/>
    <w:rsid w:val="00FE1336"/>
    <w:rsid w:val="00FE2365"/>
    <w:rsid w:val="00FE2A4D"/>
    <w:rsid w:val="00FE3C6C"/>
    <w:rsid w:val="00FE4C7B"/>
    <w:rsid w:val="00FE58D1"/>
    <w:rsid w:val="00FE5CEC"/>
    <w:rsid w:val="00FE64AB"/>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695223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17924-4A65-DE49-8EA7-0384707AD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932</TotalTime>
  <Pages>4</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593</cp:revision>
  <cp:lastPrinted>2008-01-31T16:09:00Z</cp:lastPrinted>
  <dcterms:created xsi:type="dcterms:W3CDTF">2017-09-28T15:58:00Z</dcterms:created>
  <dcterms:modified xsi:type="dcterms:W3CDTF">2019-08-16T13:34:00Z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